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963AAC" w14:textId="77777777" w:rsidR="00A311A5" w:rsidRDefault="00901044">
      <w:pPr>
        <w:jc w:val="center"/>
      </w:pPr>
      <w:r>
        <w:rPr>
          <w:b/>
          <w:color w:val="1F4E79"/>
          <w:sz w:val="24"/>
        </w:rPr>
        <w:t>TEMPLARS PRIMARY SCHOOL</w:t>
      </w:r>
    </w:p>
    <w:p w14:paraId="6E55A309" w14:textId="77777777" w:rsidR="00A311A5" w:rsidRDefault="00901044">
      <w:pPr>
        <w:pStyle w:val="Title"/>
        <w:jc w:val="center"/>
      </w:pPr>
      <w:r>
        <w:t>Public Sector Equality Duty (PSED)</w:t>
      </w:r>
      <w:r>
        <w:br/>
        <w:t>Annual Equality Information &amp; Progress Report 2026–27</w:t>
      </w:r>
    </w:p>
    <w:p w14:paraId="665C8634" w14:textId="77777777" w:rsidR="00A311A5" w:rsidRDefault="00901044">
      <w:pPr>
        <w:jc w:val="center"/>
      </w:pPr>
      <w:r>
        <w:rPr>
          <w:b/>
          <w:sz w:val="21"/>
        </w:rPr>
        <w:t>Every Child • Every Day • Every Chance</w:t>
      </w:r>
    </w:p>
    <w:p w14:paraId="06957580" w14:textId="77777777" w:rsidR="00A311A5" w:rsidRDefault="00901044">
      <w:r>
        <w:t>This annual report should be read alongside Templars Primary School’s Equality Information and Objectives Policy (Single Equality Scheme) 2025–2029 and the Accessibility Plan 2026–2029. It provides a concise annual account of how the school demonstrates due regard to the Public Sector Equality Duty and how equality priorities are being implemented and reviewed during 2026–27.</w:t>
      </w:r>
    </w:p>
    <w:p w14:paraId="2EC96599" w14:textId="77777777" w:rsidR="00A311A5" w:rsidRDefault="00901044">
      <w:pPr>
        <w:pStyle w:val="Heading1"/>
      </w:pPr>
      <w:r>
        <w:t>1. Statutory purpose</w:t>
      </w:r>
    </w:p>
    <w:p w14:paraId="7F4B7DF6" w14:textId="77777777" w:rsidR="00A311A5" w:rsidRDefault="00901044">
      <w:r>
        <w:t>Under the Equality Act 2010, Templars must have due regard to three aims when carrying out its functions. The school must also publish information demonstrating compliance with the Public Sector Equality Duty annually and publish one or more equality objectives at least every four years.</w:t>
      </w:r>
    </w:p>
    <w:tbl>
      <w:tblPr>
        <w:tblStyle w:val="TableGrid"/>
        <w:tblW w:w="0" w:type="auto"/>
        <w:jc w:val="center"/>
        <w:tblLook w:val="04A0" w:firstRow="1" w:lastRow="0" w:firstColumn="1" w:lastColumn="0" w:noHBand="0" w:noVBand="1"/>
      </w:tblPr>
      <w:tblGrid>
        <w:gridCol w:w="5222"/>
        <w:gridCol w:w="5222"/>
      </w:tblGrid>
      <w:tr w:rsidR="00A311A5" w14:paraId="0DCE24B8" w14:textId="77777777">
        <w:trPr>
          <w:cantSplit/>
          <w:tblHeader/>
          <w:jc w:val="center"/>
        </w:trPr>
        <w:tc>
          <w:tcPr>
            <w:tcW w:w="5227" w:type="dxa"/>
            <w:shd w:val="clear" w:color="auto" w:fill="1F4E79"/>
          </w:tcPr>
          <w:p w14:paraId="0E2C4F57" w14:textId="77777777" w:rsidR="00A311A5" w:rsidRDefault="00901044">
            <w:pPr>
              <w:spacing w:after="0"/>
            </w:pPr>
            <w:r>
              <w:rPr>
                <w:b/>
                <w:color w:val="FFFFFF"/>
                <w:sz w:val="16"/>
              </w:rPr>
              <w:t>PSED aim</w:t>
            </w:r>
          </w:p>
        </w:tc>
        <w:tc>
          <w:tcPr>
            <w:tcW w:w="5227" w:type="dxa"/>
            <w:shd w:val="clear" w:color="auto" w:fill="1F4E79"/>
          </w:tcPr>
          <w:p w14:paraId="54EC7194" w14:textId="77777777" w:rsidR="00A311A5" w:rsidRDefault="00901044">
            <w:pPr>
              <w:spacing w:after="0"/>
            </w:pPr>
            <w:r>
              <w:rPr>
                <w:b/>
                <w:color w:val="FFFFFF"/>
                <w:sz w:val="16"/>
              </w:rPr>
              <w:t>What this means at Templars</w:t>
            </w:r>
          </w:p>
        </w:tc>
      </w:tr>
      <w:tr w:rsidR="00A311A5" w14:paraId="20251639" w14:textId="77777777">
        <w:trPr>
          <w:cantSplit/>
          <w:jc w:val="center"/>
        </w:trPr>
        <w:tc>
          <w:tcPr>
            <w:tcW w:w="5227" w:type="dxa"/>
          </w:tcPr>
          <w:p w14:paraId="3863542D" w14:textId="77777777" w:rsidR="00A311A5" w:rsidRDefault="00901044">
            <w:pPr>
              <w:spacing w:after="0"/>
            </w:pPr>
            <w:r>
              <w:rPr>
                <w:sz w:val="16"/>
              </w:rPr>
              <w:t>Eliminate discrimination, harassment, victimisation and other prohibited conduct</w:t>
            </w:r>
          </w:p>
        </w:tc>
        <w:tc>
          <w:tcPr>
            <w:tcW w:w="5227" w:type="dxa"/>
          </w:tcPr>
          <w:p w14:paraId="55A11811" w14:textId="77777777" w:rsidR="00A311A5" w:rsidRDefault="00901044">
            <w:pPr>
              <w:spacing w:after="0"/>
            </w:pPr>
            <w:r>
              <w:rPr>
                <w:sz w:val="16"/>
              </w:rPr>
              <w:t>Prevent and respond to discrimination and prejudice; apply safeguarding, behaviour and anti-bullying systems; make reasonable adjustments; monitor incidents and patterns.</w:t>
            </w:r>
          </w:p>
        </w:tc>
      </w:tr>
      <w:tr w:rsidR="00A311A5" w14:paraId="0CA55C98" w14:textId="77777777">
        <w:trPr>
          <w:cantSplit/>
          <w:jc w:val="center"/>
        </w:trPr>
        <w:tc>
          <w:tcPr>
            <w:tcW w:w="5227" w:type="dxa"/>
            <w:shd w:val="clear" w:color="auto" w:fill="F3F6F9"/>
          </w:tcPr>
          <w:p w14:paraId="49D25E93" w14:textId="77777777" w:rsidR="00A311A5" w:rsidRDefault="00901044">
            <w:pPr>
              <w:spacing w:after="0"/>
            </w:pPr>
            <w:r>
              <w:rPr>
                <w:sz w:val="16"/>
              </w:rPr>
              <w:t>Advance equality of opportunity</w:t>
            </w:r>
          </w:p>
        </w:tc>
        <w:tc>
          <w:tcPr>
            <w:tcW w:w="5227" w:type="dxa"/>
            <w:shd w:val="clear" w:color="auto" w:fill="F3F6F9"/>
          </w:tcPr>
          <w:p w14:paraId="26830D63" w14:textId="77777777" w:rsidR="00A311A5" w:rsidRDefault="00901044">
            <w:pPr>
              <w:spacing w:after="0"/>
            </w:pPr>
            <w:r>
              <w:rPr>
                <w:sz w:val="16"/>
              </w:rPr>
              <w:t>Identify and reduce disadvantage; meet different needs; remove barriers to curriculum access, attendance and participation; encourage participation where groups are under-represented.</w:t>
            </w:r>
          </w:p>
        </w:tc>
      </w:tr>
      <w:tr w:rsidR="00A311A5" w14:paraId="3F7C2693" w14:textId="77777777">
        <w:trPr>
          <w:cantSplit/>
          <w:jc w:val="center"/>
        </w:trPr>
        <w:tc>
          <w:tcPr>
            <w:tcW w:w="5227" w:type="dxa"/>
          </w:tcPr>
          <w:p w14:paraId="3EDDED97" w14:textId="77777777" w:rsidR="00A311A5" w:rsidRDefault="00901044">
            <w:pPr>
              <w:spacing w:after="0"/>
            </w:pPr>
            <w:r>
              <w:rPr>
                <w:sz w:val="16"/>
              </w:rPr>
              <w:t>Foster good relations</w:t>
            </w:r>
          </w:p>
        </w:tc>
        <w:tc>
          <w:tcPr>
            <w:tcW w:w="5227" w:type="dxa"/>
          </w:tcPr>
          <w:p w14:paraId="62F08070" w14:textId="77777777" w:rsidR="00A311A5" w:rsidRDefault="00901044">
            <w:pPr>
              <w:spacing w:after="0"/>
            </w:pPr>
            <w:r>
              <w:rPr>
                <w:sz w:val="16"/>
              </w:rPr>
              <w:t>Tackle prejudice and promote understanding, respectful relationships, belonging and positive representation through curriculum, personal development and the wider life of school.</w:t>
            </w:r>
          </w:p>
        </w:tc>
      </w:tr>
    </w:tbl>
    <w:p w14:paraId="18E09FBC" w14:textId="77777777" w:rsidR="00A311A5" w:rsidRDefault="00901044">
      <w:pPr>
        <w:pStyle w:val="Heading1"/>
      </w:pPr>
      <w:r>
        <w:t>2. Relationship to the existing Equality Scheme</w:t>
      </w:r>
    </w:p>
    <w:p w14:paraId="7C5CA9F6" w14:textId="77777777" w:rsidR="00A311A5" w:rsidRDefault="00901044">
      <w:r>
        <w:t>The school’s current Equality Information and Objectives Policy was ratified in Autumn 2025. The policy states that the scheme is reported on annually, that the action plan is renewed annually and that progress towards equality objectives is reported to governors. This report provides the separate annual update envisaged by that policy.</w:t>
      </w:r>
    </w:p>
    <w:p w14:paraId="09F14B31" w14:textId="77777777" w:rsidR="00A311A5" w:rsidRDefault="00901044">
      <w:r>
        <w:t>The existing objectives remain in force. This annual report does not replace the four-year Equality Policy; it makes the school’s current evidence, priorities and progress easier to identify and review.</w:t>
      </w:r>
    </w:p>
    <w:p w14:paraId="08DE3DFE" w14:textId="77777777" w:rsidR="00A311A5" w:rsidRDefault="00901044">
      <w:pPr>
        <w:pStyle w:val="Heading1"/>
      </w:pPr>
      <w:r>
        <w:t>3. 2026–27 equality profile</w:t>
      </w:r>
    </w:p>
    <w:p w14:paraId="50FCECAC" w14:textId="77777777" w:rsidR="00A311A5" w:rsidRDefault="00901044">
      <w:r>
        <w:t>The school reviews relevant, proportionate information about its community to identify patterns, barriers and priorities. Small cohorts will not be published where doing so could identify individual pupils.</w:t>
      </w:r>
    </w:p>
    <w:tbl>
      <w:tblPr>
        <w:tblStyle w:val="TableGrid"/>
        <w:tblW w:w="0" w:type="auto"/>
        <w:jc w:val="center"/>
        <w:tblLook w:val="04A0" w:firstRow="1" w:lastRow="0" w:firstColumn="1" w:lastColumn="0" w:noHBand="0" w:noVBand="1"/>
      </w:tblPr>
      <w:tblGrid>
        <w:gridCol w:w="5222"/>
        <w:gridCol w:w="5222"/>
      </w:tblGrid>
      <w:tr w:rsidR="00A311A5" w14:paraId="23078B26" w14:textId="77777777">
        <w:trPr>
          <w:cantSplit/>
          <w:tblHeader/>
          <w:jc w:val="center"/>
        </w:trPr>
        <w:tc>
          <w:tcPr>
            <w:tcW w:w="5227" w:type="dxa"/>
            <w:shd w:val="clear" w:color="auto" w:fill="1F4E79"/>
          </w:tcPr>
          <w:p w14:paraId="1210738E" w14:textId="77777777" w:rsidR="00A311A5" w:rsidRDefault="00901044">
            <w:pPr>
              <w:spacing w:after="0"/>
            </w:pPr>
            <w:r>
              <w:rPr>
                <w:b/>
                <w:color w:val="FFFFFF"/>
                <w:sz w:val="16"/>
              </w:rPr>
              <w:t>Profile measure</w:t>
            </w:r>
          </w:p>
        </w:tc>
        <w:tc>
          <w:tcPr>
            <w:tcW w:w="5227" w:type="dxa"/>
            <w:shd w:val="clear" w:color="auto" w:fill="1F4E79"/>
          </w:tcPr>
          <w:p w14:paraId="1C2DC5BC" w14:textId="77777777" w:rsidR="00A311A5" w:rsidRDefault="00901044">
            <w:pPr>
              <w:spacing w:after="0"/>
            </w:pPr>
            <w:r>
              <w:rPr>
                <w:b/>
                <w:color w:val="FFFFFF"/>
                <w:sz w:val="16"/>
              </w:rPr>
              <w:t>September 2026 position</w:t>
            </w:r>
          </w:p>
        </w:tc>
      </w:tr>
      <w:tr w:rsidR="00A311A5" w14:paraId="198D66EB" w14:textId="77777777">
        <w:trPr>
          <w:cantSplit/>
          <w:jc w:val="center"/>
        </w:trPr>
        <w:tc>
          <w:tcPr>
            <w:tcW w:w="5227" w:type="dxa"/>
          </w:tcPr>
          <w:p w14:paraId="73720013" w14:textId="77777777" w:rsidR="00A311A5" w:rsidRDefault="00901044">
            <w:pPr>
              <w:spacing w:after="0"/>
            </w:pPr>
            <w:r>
              <w:rPr>
                <w:sz w:val="16"/>
              </w:rPr>
              <w:t>Total pupils</w:t>
            </w:r>
          </w:p>
        </w:tc>
        <w:tc>
          <w:tcPr>
            <w:tcW w:w="5227" w:type="dxa"/>
          </w:tcPr>
          <w:p w14:paraId="7779DFD8" w14:textId="4FBC38A4" w:rsidR="00A311A5" w:rsidRDefault="00757C4E">
            <w:pPr>
              <w:spacing w:after="0"/>
            </w:pPr>
            <w:r>
              <w:t xml:space="preserve">583   </w:t>
            </w:r>
          </w:p>
        </w:tc>
      </w:tr>
      <w:tr w:rsidR="00A311A5" w14:paraId="3026DC0C" w14:textId="77777777">
        <w:trPr>
          <w:cantSplit/>
          <w:jc w:val="center"/>
        </w:trPr>
        <w:tc>
          <w:tcPr>
            <w:tcW w:w="5227" w:type="dxa"/>
            <w:shd w:val="clear" w:color="auto" w:fill="F3F6F9"/>
          </w:tcPr>
          <w:p w14:paraId="60B20C2D" w14:textId="77777777" w:rsidR="00A311A5" w:rsidRDefault="00901044">
            <w:pPr>
              <w:spacing w:after="0"/>
            </w:pPr>
            <w:r>
              <w:rPr>
                <w:sz w:val="16"/>
              </w:rPr>
              <w:t>Disadvantaged / Pupil Premium</w:t>
            </w:r>
          </w:p>
        </w:tc>
        <w:tc>
          <w:tcPr>
            <w:tcW w:w="5227" w:type="dxa"/>
            <w:shd w:val="clear" w:color="auto" w:fill="F3F6F9"/>
          </w:tcPr>
          <w:p w14:paraId="298A0D24" w14:textId="4F62FB70" w:rsidR="00A311A5" w:rsidRDefault="00757C4E">
            <w:pPr>
              <w:spacing w:after="0"/>
            </w:pPr>
            <w:r>
              <w:t xml:space="preserve">215   37% </w:t>
            </w:r>
          </w:p>
        </w:tc>
      </w:tr>
      <w:tr w:rsidR="00A311A5" w14:paraId="486C1FC3" w14:textId="77777777">
        <w:trPr>
          <w:cantSplit/>
          <w:jc w:val="center"/>
        </w:trPr>
        <w:tc>
          <w:tcPr>
            <w:tcW w:w="5227" w:type="dxa"/>
          </w:tcPr>
          <w:p w14:paraId="5DD47427" w14:textId="77777777" w:rsidR="00A311A5" w:rsidRDefault="00901044">
            <w:pPr>
              <w:spacing w:after="0"/>
            </w:pPr>
            <w:r>
              <w:rPr>
                <w:sz w:val="16"/>
              </w:rPr>
              <w:t>SEND</w:t>
            </w:r>
          </w:p>
        </w:tc>
        <w:tc>
          <w:tcPr>
            <w:tcW w:w="5227" w:type="dxa"/>
          </w:tcPr>
          <w:p w14:paraId="3A78D40F" w14:textId="2A60479D" w:rsidR="00A311A5" w:rsidRDefault="00757C4E">
            <w:pPr>
              <w:spacing w:after="0"/>
            </w:pPr>
            <w:r>
              <w:rPr>
                <w:sz w:val="16"/>
              </w:rPr>
              <w:t>152    26%</w:t>
            </w:r>
          </w:p>
        </w:tc>
      </w:tr>
      <w:tr w:rsidR="00A311A5" w14:paraId="3FFFF4E3" w14:textId="77777777">
        <w:trPr>
          <w:cantSplit/>
          <w:jc w:val="center"/>
        </w:trPr>
        <w:tc>
          <w:tcPr>
            <w:tcW w:w="5227" w:type="dxa"/>
            <w:shd w:val="clear" w:color="auto" w:fill="F3F6F9"/>
          </w:tcPr>
          <w:p w14:paraId="770B4D49" w14:textId="77777777" w:rsidR="00A311A5" w:rsidRDefault="00901044">
            <w:pPr>
              <w:spacing w:after="0"/>
            </w:pPr>
            <w:r>
              <w:rPr>
                <w:sz w:val="16"/>
              </w:rPr>
              <w:t>EAL</w:t>
            </w:r>
          </w:p>
        </w:tc>
        <w:tc>
          <w:tcPr>
            <w:tcW w:w="5227" w:type="dxa"/>
            <w:shd w:val="clear" w:color="auto" w:fill="F3F6F9"/>
          </w:tcPr>
          <w:p w14:paraId="07A0D45F" w14:textId="63EECDA0" w:rsidR="00A311A5" w:rsidRDefault="00757C4E">
            <w:pPr>
              <w:spacing w:after="0"/>
            </w:pPr>
            <w:r>
              <w:rPr>
                <w:sz w:val="16"/>
              </w:rPr>
              <w:t>154   26%</w:t>
            </w:r>
          </w:p>
        </w:tc>
      </w:tr>
      <w:tr w:rsidR="00A311A5" w14:paraId="29E569FA" w14:textId="77777777">
        <w:trPr>
          <w:cantSplit/>
          <w:jc w:val="center"/>
        </w:trPr>
        <w:tc>
          <w:tcPr>
            <w:tcW w:w="5227" w:type="dxa"/>
          </w:tcPr>
          <w:p w14:paraId="59628107" w14:textId="77777777" w:rsidR="00A311A5" w:rsidRDefault="00901044">
            <w:pPr>
              <w:spacing w:after="0"/>
            </w:pPr>
            <w:r>
              <w:rPr>
                <w:sz w:val="16"/>
              </w:rPr>
              <w:t>Sex profile</w:t>
            </w:r>
          </w:p>
        </w:tc>
        <w:tc>
          <w:tcPr>
            <w:tcW w:w="5227" w:type="dxa"/>
          </w:tcPr>
          <w:p w14:paraId="32FCDE35" w14:textId="485278B4" w:rsidR="00A311A5" w:rsidRDefault="00757C4E">
            <w:pPr>
              <w:spacing w:after="0"/>
            </w:pPr>
            <w:r>
              <w:t xml:space="preserve">F </w:t>
            </w:r>
            <w:proofErr w:type="gramStart"/>
            <w:r>
              <w:t>285  M</w:t>
            </w:r>
            <w:proofErr w:type="gramEnd"/>
            <w:r>
              <w:t xml:space="preserve"> 298     F49% M51%</w:t>
            </w:r>
          </w:p>
        </w:tc>
      </w:tr>
      <w:tr w:rsidR="00A311A5" w14:paraId="05796DCF" w14:textId="77777777">
        <w:trPr>
          <w:cantSplit/>
          <w:jc w:val="center"/>
        </w:trPr>
        <w:tc>
          <w:tcPr>
            <w:tcW w:w="5227" w:type="dxa"/>
            <w:shd w:val="clear" w:color="auto" w:fill="F3F6F9"/>
          </w:tcPr>
          <w:p w14:paraId="611F63AD" w14:textId="77777777" w:rsidR="00A311A5" w:rsidRDefault="00901044">
            <w:pPr>
              <w:spacing w:after="0"/>
            </w:pPr>
            <w:r>
              <w:rPr>
                <w:sz w:val="16"/>
              </w:rPr>
              <w:t>Ethnicity / minority ethnic profile</w:t>
            </w:r>
          </w:p>
        </w:tc>
        <w:tc>
          <w:tcPr>
            <w:tcW w:w="5227" w:type="dxa"/>
            <w:shd w:val="clear" w:color="auto" w:fill="F3F6F9"/>
          </w:tcPr>
          <w:p w14:paraId="0C3FC51C" w14:textId="6CAF6648" w:rsidR="00A311A5" w:rsidRDefault="00757C4E">
            <w:pPr>
              <w:spacing w:after="0"/>
            </w:pPr>
            <w:r>
              <w:t>250   43%</w:t>
            </w:r>
          </w:p>
        </w:tc>
      </w:tr>
    </w:tbl>
    <w:p w14:paraId="184A6E19" w14:textId="77777777" w:rsidR="00A311A5" w:rsidRDefault="00901044">
      <w:pPr>
        <w:pStyle w:val="Heading1"/>
        <w:pageBreakBefore/>
      </w:pPr>
      <w:r>
        <w:lastRenderedPageBreak/>
        <w:t>4. Evidence of PSED compliance in 2026–27</w:t>
      </w:r>
    </w:p>
    <w:tbl>
      <w:tblPr>
        <w:tblStyle w:val="TableGrid"/>
        <w:tblW w:w="0" w:type="auto"/>
        <w:jc w:val="center"/>
        <w:tblLook w:val="04A0" w:firstRow="1" w:lastRow="0" w:firstColumn="1" w:lastColumn="0" w:noHBand="0" w:noVBand="1"/>
      </w:tblPr>
      <w:tblGrid>
        <w:gridCol w:w="3481"/>
        <w:gridCol w:w="3481"/>
        <w:gridCol w:w="3482"/>
      </w:tblGrid>
      <w:tr w:rsidR="00A311A5" w14:paraId="0BB7EFFC" w14:textId="77777777">
        <w:trPr>
          <w:cantSplit/>
          <w:tblHeader/>
          <w:jc w:val="center"/>
        </w:trPr>
        <w:tc>
          <w:tcPr>
            <w:tcW w:w="3485" w:type="dxa"/>
            <w:shd w:val="clear" w:color="auto" w:fill="1F4E79"/>
          </w:tcPr>
          <w:p w14:paraId="7A6E86AD" w14:textId="77777777" w:rsidR="00A311A5" w:rsidRDefault="00901044">
            <w:pPr>
              <w:spacing w:after="0"/>
            </w:pPr>
            <w:r>
              <w:rPr>
                <w:b/>
                <w:color w:val="FFFFFF"/>
                <w:sz w:val="14"/>
              </w:rPr>
              <w:t>PSED aim</w:t>
            </w:r>
          </w:p>
        </w:tc>
        <w:tc>
          <w:tcPr>
            <w:tcW w:w="3485" w:type="dxa"/>
            <w:shd w:val="clear" w:color="auto" w:fill="1F4E79"/>
          </w:tcPr>
          <w:p w14:paraId="7D3193A1" w14:textId="77777777" w:rsidR="00A311A5" w:rsidRDefault="00901044">
            <w:pPr>
              <w:spacing w:after="0"/>
            </w:pPr>
            <w:r>
              <w:rPr>
                <w:b/>
                <w:color w:val="FFFFFF"/>
                <w:sz w:val="14"/>
              </w:rPr>
              <w:t>Current Templars practice</w:t>
            </w:r>
          </w:p>
        </w:tc>
        <w:tc>
          <w:tcPr>
            <w:tcW w:w="3485" w:type="dxa"/>
            <w:shd w:val="clear" w:color="auto" w:fill="1F4E79"/>
          </w:tcPr>
          <w:p w14:paraId="71F98032" w14:textId="77777777" w:rsidR="00A311A5" w:rsidRDefault="00901044">
            <w:pPr>
              <w:spacing w:after="0"/>
            </w:pPr>
            <w:r>
              <w:rPr>
                <w:b/>
                <w:color w:val="FFFFFF"/>
                <w:sz w:val="14"/>
              </w:rPr>
              <w:t>Evidence reviewed</w:t>
            </w:r>
          </w:p>
        </w:tc>
      </w:tr>
      <w:tr w:rsidR="00A311A5" w14:paraId="0E4D94CD" w14:textId="77777777">
        <w:trPr>
          <w:cantSplit/>
          <w:jc w:val="center"/>
        </w:trPr>
        <w:tc>
          <w:tcPr>
            <w:tcW w:w="3485" w:type="dxa"/>
          </w:tcPr>
          <w:p w14:paraId="2A7E46BA" w14:textId="77777777" w:rsidR="00A311A5" w:rsidRDefault="00901044">
            <w:pPr>
              <w:spacing w:after="0"/>
            </w:pPr>
            <w:r>
              <w:rPr>
                <w:sz w:val="14"/>
              </w:rPr>
              <w:t>Eliminate discrimination, harassment and victimisation</w:t>
            </w:r>
          </w:p>
        </w:tc>
        <w:tc>
          <w:tcPr>
            <w:tcW w:w="3485" w:type="dxa"/>
          </w:tcPr>
          <w:p w14:paraId="496C1F8B" w14:textId="77777777" w:rsidR="00A311A5" w:rsidRDefault="00901044">
            <w:pPr>
              <w:spacing w:after="0"/>
            </w:pPr>
            <w:r>
              <w:rPr>
                <w:sz w:val="14"/>
              </w:rPr>
              <w:t>• Safeguarding and behaviour systems provide clear routes for reporting and responding to concerns.</w:t>
            </w:r>
            <w:r>
              <w:rPr>
                <w:sz w:val="14"/>
              </w:rPr>
              <w:br/>
              <w:t>• Prejudice-related, racial and sexual incidents are recorded, reviewed and followed up.</w:t>
            </w:r>
            <w:r>
              <w:rPr>
                <w:sz w:val="14"/>
              </w:rPr>
              <w:br/>
              <w:t>• Staff are expected to identify and challenge discriminatory language, bias, stereotyping and prejudice.</w:t>
            </w:r>
            <w:r>
              <w:rPr>
                <w:sz w:val="14"/>
              </w:rPr>
              <w:br/>
              <w:t>• Reasonable adjustments are made for disabled pupils and pupils with additional needs.</w:t>
            </w:r>
            <w:r>
              <w:rPr>
                <w:sz w:val="14"/>
              </w:rPr>
              <w:br/>
            </w:r>
            <w:r>
              <w:rPr>
                <w:sz w:val="14"/>
              </w:rPr>
              <w:t>• Policies and practice are reviewed where they may create avoidable disadvantage.</w:t>
            </w:r>
          </w:p>
        </w:tc>
        <w:tc>
          <w:tcPr>
            <w:tcW w:w="3485" w:type="dxa"/>
          </w:tcPr>
          <w:p w14:paraId="5402E665" w14:textId="77777777" w:rsidR="00A311A5" w:rsidRDefault="00901044">
            <w:pPr>
              <w:spacing w:after="0"/>
            </w:pPr>
            <w:r>
              <w:rPr>
                <w:sz w:val="14"/>
              </w:rPr>
              <w:t>Incident logs and analysis; safeguarding/behaviour monitoring; staff training; pupil voice; policy review; reasonable-adjustment records.</w:t>
            </w:r>
          </w:p>
        </w:tc>
      </w:tr>
      <w:tr w:rsidR="00A311A5" w14:paraId="61726148" w14:textId="77777777">
        <w:trPr>
          <w:cantSplit/>
          <w:jc w:val="center"/>
        </w:trPr>
        <w:tc>
          <w:tcPr>
            <w:tcW w:w="3485" w:type="dxa"/>
            <w:shd w:val="clear" w:color="auto" w:fill="F3F6F9"/>
          </w:tcPr>
          <w:p w14:paraId="5152235C" w14:textId="77777777" w:rsidR="00A311A5" w:rsidRDefault="00901044">
            <w:pPr>
              <w:spacing w:after="0"/>
            </w:pPr>
            <w:r>
              <w:rPr>
                <w:sz w:val="14"/>
              </w:rPr>
              <w:t>Advance equality of opportunity</w:t>
            </w:r>
          </w:p>
        </w:tc>
        <w:tc>
          <w:tcPr>
            <w:tcW w:w="3485" w:type="dxa"/>
            <w:shd w:val="clear" w:color="auto" w:fill="F3F6F9"/>
          </w:tcPr>
          <w:p w14:paraId="572364AD" w14:textId="77777777" w:rsidR="00A311A5" w:rsidRDefault="00901044">
            <w:pPr>
              <w:spacing w:after="0"/>
            </w:pPr>
            <w:r>
              <w:rPr>
                <w:sz w:val="14"/>
              </w:rPr>
              <w:t>• Leaders analyse attainment, progress, attendance, persistent absence, behaviour and participation for relevant pupil groups.</w:t>
            </w:r>
            <w:r>
              <w:rPr>
                <w:sz w:val="14"/>
              </w:rPr>
              <w:br/>
              <w:t>• Adaptive teaching and targeted intervention respond to identified barriers.</w:t>
            </w:r>
            <w:r>
              <w:rPr>
                <w:sz w:val="14"/>
              </w:rPr>
              <w:br/>
            </w:r>
            <w:r>
              <w:rPr>
                <w:sz w:val="14"/>
              </w:rPr>
              <w:t>• SEND and disadvantage are considered together where pupils experience overlapping barriers.</w:t>
            </w:r>
            <w:r>
              <w:rPr>
                <w:sz w:val="14"/>
              </w:rPr>
              <w:br/>
              <w:t>• Accessibility planning addresses curriculum access, the physical environment and accessible information.</w:t>
            </w:r>
            <w:r>
              <w:rPr>
                <w:sz w:val="14"/>
              </w:rPr>
              <w:br/>
              <w:t>• Financial or additional-needs barriers to trips, clubs, play, enrichment and wider opportunities are considered and reduced where reasonably possible.</w:t>
            </w:r>
          </w:p>
        </w:tc>
        <w:tc>
          <w:tcPr>
            <w:tcW w:w="3485" w:type="dxa"/>
            <w:shd w:val="clear" w:color="auto" w:fill="F3F6F9"/>
          </w:tcPr>
          <w:p w14:paraId="03DA1C0A" w14:textId="77777777" w:rsidR="00A311A5" w:rsidRDefault="00901044">
            <w:pPr>
              <w:spacing w:after="0"/>
            </w:pPr>
            <w:r>
              <w:rPr>
                <w:sz w:val="14"/>
              </w:rPr>
              <w:t>Assessment and standards reports; attendance analysis; SEND review; Accessibility Plan; intervention reviews; participation data; pupil/parent voice.</w:t>
            </w:r>
          </w:p>
        </w:tc>
      </w:tr>
      <w:tr w:rsidR="00A311A5" w14:paraId="04B65E01" w14:textId="77777777">
        <w:trPr>
          <w:cantSplit/>
          <w:jc w:val="center"/>
        </w:trPr>
        <w:tc>
          <w:tcPr>
            <w:tcW w:w="3485" w:type="dxa"/>
          </w:tcPr>
          <w:p w14:paraId="7C0AE317" w14:textId="77777777" w:rsidR="00A311A5" w:rsidRDefault="00901044">
            <w:pPr>
              <w:spacing w:after="0"/>
            </w:pPr>
            <w:r>
              <w:rPr>
                <w:sz w:val="14"/>
              </w:rPr>
              <w:t>Foster good relations</w:t>
            </w:r>
          </w:p>
        </w:tc>
        <w:tc>
          <w:tcPr>
            <w:tcW w:w="3485" w:type="dxa"/>
          </w:tcPr>
          <w:p w14:paraId="48B6E4B0" w14:textId="77777777" w:rsidR="00A311A5" w:rsidRDefault="00901044">
            <w:pPr>
              <w:spacing w:after="0"/>
            </w:pPr>
            <w:r>
              <w:rPr>
                <w:sz w:val="14"/>
              </w:rPr>
              <w:t>• The curriculum and personal development programme promote respect, understanding and positive representation.</w:t>
            </w:r>
            <w:r>
              <w:rPr>
                <w:sz w:val="14"/>
              </w:rPr>
              <w:br/>
              <w:t>• The school’s values of Care, Respect and Honesty and its emphasis on belonging underpin expectations for relationships.</w:t>
            </w:r>
            <w:r>
              <w:rPr>
                <w:sz w:val="14"/>
              </w:rPr>
              <w:br/>
              <w:t>• Pupil voice, parent engagement and community links are used to understand experiences and identify barriers.</w:t>
            </w:r>
            <w:r>
              <w:rPr>
                <w:sz w:val="14"/>
              </w:rPr>
              <w:br/>
              <w:t>• Pupils are taught to recognise prejudice, report concerns and respect difference.</w:t>
            </w:r>
          </w:p>
        </w:tc>
        <w:tc>
          <w:tcPr>
            <w:tcW w:w="3485" w:type="dxa"/>
          </w:tcPr>
          <w:p w14:paraId="2B700D2E" w14:textId="77777777" w:rsidR="00A311A5" w:rsidRDefault="00901044">
            <w:pPr>
              <w:spacing w:after="0"/>
            </w:pPr>
            <w:r>
              <w:rPr>
                <w:sz w:val="14"/>
              </w:rPr>
              <w:t>Curriculum/PSHE evidence; assemblies; pupil voice; parent feedback; behaviour and safeguarding records; enrichment/community activity.</w:t>
            </w:r>
          </w:p>
        </w:tc>
      </w:tr>
    </w:tbl>
    <w:p w14:paraId="6340F9FE" w14:textId="77777777" w:rsidR="00A311A5" w:rsidRDefault="00901044">
      <w:r>
        <w:br w:type="page"/>
      </w:r>
    </w:p>
    <w:p w14:paraId="4EC376DD" w14:textId="77777777" w:rsidR="00A311A5" w:rsidRDefault="00901044">
      <w:pPr>
        <w:pStyle w:val="Heading1"/>
      </w:pPr>
      <w:r>
        <w:lastRenderedPageBreak/>
        <w:t>5. Annual review of 2025–26 evidence</w:t>
      </w:r>
    </w:p>
    <w:p w14:paraId="3BB3E436" w14:textId="77777777" w:rsidR="00A311A5" w:rsidRDefault="00901044">
      <w:r>
        <w:t>The 2025–26 review identified strengths in inclusive practice and systems, alongside continuing disparities that require focused action. The purpose of this section is not to reproduce every school data report, but to identify equality-relevant findings that inform 2026–27 priorities.</w:t>
      </w:r>
    </w:p>
    <w:tbl>
      <w:tblPr>
        <w:tblStyle w:val="TableGrid"/>
        <w:tblW w:w="0" w:type="auto"/>
        <w:jc w:val="center"/>
        <w:tblLook w:val="04A0" w:firstRow="1" w:lastRow="0" w:firstColumn="1" w:lastColumn="0" w:noHBand="0" w:noVBand="1"/>
      </w:tblPr>
      <w:tblGrid>
        <w:gridCol w:w="3480"/>
        <w:gridCol w:w="3482"/>
        <w:gridCol w:w="3482"/>
      </w:tblGrid>
      <w:tr w:rsidR="00A311A5" w14:paraId="6B6E0810" w14:textId="77777777">
        <w:trPr>
          <w:cantSplit/>
          <w:tblHeader/>
          <w:jc w:val="center"/>
        </w:trPr>
        <w:tc>
          <w:tcPr>
            <w:tcW w:w="3485" w:type="dxa"/>
            <w:shd w:val="clear" w:color="auto" w:fill="1F4E79"/>
          </w:tcPr>
          <w:p w14:paraId="7F46C2FB" w14:textId="77777777" w:rsidR="00A311A5" w:rsidRDefault="00901044">
            <w:pPr>
              <w:spacing w:after="0"/>
            </w:pPr>
            <w:r>
              <w:rPr>
                <w:b/>
                <w:color w:val="FFFFFF"/>
                <w:sz w:val="14"/>
              </w:rPr>
              <w:t>Area reviewed</w:t>
            </w:r>
          </w:p>
        </w:tc>
        <w:tc>
          <w:tcPr>
            <w:tcW w:w="3485" w:type="dxa"/>
            <w:shd w:val="clear" w:color="auto" w:fill="1F4E79"/>
          </w:tcPr>
          <w:p w14:paraId="58B30F71" w14:textId="77777777" w:rsidR="00A311A5" w:rsidRDefault="00901044">
            <w:pPr>
              <w:spacing w:after="0"/>
            </w:pPr>
            <w:r>
              <w:rPr>
                <w:b/>
                <w:color w:val="FFFFFF"/>
                <w:sz w:val="14"/>
              </w:rPr>
              <w:t>2025–26 equality-relevant finding</w:t>
            </w:r>
          </w:p>
        </w:tc>
        <w:tc>
          <w:tcPr>
            <w:tcW w:w="3485" w:type="dxa"/>
            <w:shd w:val="clear" w:color="auto" w:fill="1F4E79"/>
          </w:tcPr>
          <w:p w14:paraId="6864506B" w14:textId="77777777" w:rsidR="00A311A5" w:rsidRDefault="00901044">
            <w:pPr>
              <w:spacing w:after="0"/>
            </w:pPr>
            <w:r>
              <w:rPr>
                <w:b/>
                <w:color w:val="FFFFFF"/>
                <w:sz w:val="14"/>
              </w:rPr>
              <w:t>2026–27 response</w:t>
            </w:r>
          </w:p>
        </w:tc>
      </w:tr>
      <w:tr w:rsidR="00A311A5" w14:paraId="22D7BD36" w14:textId="77777777">
        <w:trPr>
          <w:cantSplit/>
          <w:jc w:val="center"/>
        </w:trPr>
        <w:tc>
          <w:tcPr>
            <w:tcW w:w="3485" w:type="dxa"/>
          </w:tcPr>
          <w:p w14:paraId="77383CEE" w14:textId="77777777" w:rsidR="00A311A5" w:rsidRDefault="00901044">
            <w:pPr>
              <w:spacing w:after="0"/>
            </w:pPr>
            <w:r>
              <w:rPr>
                <w:sz w:val="14"/>
              </w:rPr>
              <w:t>Attainment and progress</w:t>
            </w:r>
          </w:p>
        </w:tc>
        <w:tc>
          <w:tcPr>
            <w:tcW w:w="3485" w:type="dxa"/>
          </w:tcPr>
          <w:p w14:paraId="43865EB0" w14:textId="77777777" w:rsidR="00A311A5" w:rsidRDefault="00901044">
            <w:pPr>
              <w:spacing w:after="0"/>
            </w:pPr>
            <w:r>
              <w:rPr>
                <w:sz w:val="14"/>
              </w:rPr>
              <w:t>Statutory outcomes were mixed and did not yet show consistently strong outcomes across phases. Leaders identified a need for greater consistency in teaching and for stronger foundations in early reading/phonics, writing and mathematics. Analysis of disadvantaged and SEND outcomes remains central to standards review.</w:t>
            </w:r>
          </w:p>
        </w:tc>
        <w:tc>
          <w:tcPr>
            <w:tcW w:w="3485" w:type="dxa"/>
          </w:tcPr>
          <w:p w14:paraId="14EB52E4" w14:textId="77777777" w:rsidR="00A311A5" w:rsidRDefault="00901044">
            <w:pPr>
              <w:spacing w:after="0"/>
            </w:pPr>
            <w:r>
              <w:rPr>
                <w:sz w:val="14"/>
              </w:rPr>
              <w:t>Continue to analyse outcomes by relevant groups and the intersection of disadvantage/SEND; respond through teaching, curriculum, intervention and leadership accountability.</w:t>
            </w:r>
          </w:p>
        </w:tc>
      </w:tr>
      <w:tr w:rsidR="00A311A5" w14:paraId="1126D055" w14:textId="77777777">
        <w:trPr>
          <w:cantSplit/>
          <w:jc w:val="center"/>
        </w:trPr>
        <w:tc>
          <w:tcPr>
            <w:tcW w:w="3485" w:type="dxa"/>
            <w:shd w:val="clear" w:color="auto" w:fill="F3F6F9"/>
          </w:tcPr>
          <w:p w14:paraId="498285ED" w14:textId="77777777" w:rsidR="00A311A5" w:rsidRDefault="00901044">
            <w:pPr>
              <w:spacing w:after="0"/>
            </w:pPr>
            <w:r>
              <w:rPr>
                <w:sz w:val="14"/>
              </w:rPr>
              <w:t>Attendance and persistent absence</w:t>
            </w:r>
          </w:p>
        </w:tc>
        <w:tc>
          <w:tcPr>
            <w:tcW w:w="3485" w:type="dxa"/>
            <w:shd w:val="clear" w:color="auto" w:fill="F3F6F9"/>
          </w:tcPr>
          <w:p w14:paraId="2F58AF9D" w14:textId="77777777" w:rsidR="00A311A5" w:rsidRDefault="00901044">
            <w:pPr>
              <w:spacing w:after="0"/>
            </w:pPr>
            <w:r>
              <w:rPr>
                <w:sz w:val="14"/>
              </w:rPr>
              <w:t>Attendance remained a significant equality-related barrier, particularly for disadvantaged pupils. The previous strategy recorded disadvantaged attendance at 90.6% compared with 95.3% for other pupils, and persistent absence at 32.1% compared with 11%.</w:t>
            </w:r>
          </w:p>
        </w:tc>
        <w:tc>
          <w:tcPr>
            <w:tcW w:w="3485" w:type="dxa"/>
            <w:shd w:val="clear" w:color="auto" w:fill="F3F6F9"/>
          </w:tcPr>
          <w:p w14:paraId="7855DDB1" w14:textId="77777777" w:rsidR="00A311A5" w:rsidRDefault="00901044">
            <w:pPr>
              <w:spacing w:after="0"/>
            </w:pPr>
            <w:r>
              <w:rPr>
                <w:sz w:val="14"/>
              </w:rPr>
              <w:t>Sustain targeted attendance work; monitor gaps at least half-termly; evaluate whether interventions improve attendance for identified pupils and groups.</w:t>
            </w:r>
          </w:p>
        </w:tc>
      </w:tr>
      <w:tr w:rsidR="00A311A5" w14:paraId="56A27F7A" w14:textId="77777777">
        <w:trPr>
          <w:cantSplit/>
          <w:jc w:val="center"/>
        </w:trPr>
        <w:tc>
          <w:tcPr>
            <w:tcW w:w="3485" w:type="dxa"/>
          </w:tcPr>
          <w:p w14:paraId="1912F844" w14:textId="77777777" w:rsidR="00A311A5" w:rsidRDefault="00901044">
            <w:pPr>
              <w:spacing w:after="0"/>
            </w:pPr>
            <w:r>
              <w:rPr>
                <w:sz w:val="14"/>
              </w:rPr>
              <w:t>Behaviour, suspension and regulation</w:t>
            </w:r>
          </w:p>
        </w:tc>
        <w:tc>
          <w:tcPr>
            <w:tcW w:w="3485" w:type="dxa"/>
          </w:tcPr>
          <w:p w14:paraId="07CB02B4" w14:textId="77777777" w:rsidR="00A311A5" w:rsidRDefault="00901044">
            <w:pPr>
              <w:spacing w:after="0"/>
            </w:pPr>
            <w:r>
              <w:rPr>
                <w:sz w:val="14"/>
              </w:rPr>
              <w:t>Whole-year analysis showed improvement from the spring term, while higher levels of incident became increasingly concentrated within a smaller cohort of pupils with additional/complex needs.</w:t>
            </w:r>
          </w:p>
        </w:tc>
        <w:tc>
          <w:tcPr>
            <w:tcW w:w="3485" w:type="dxa"/>
          </w:tcPr>
          <w:p w14:paraId="12335722" w14:textId="77777777" w:rsidR="00A311A5" w:rsidRDefault="00901044">
            <w:pPr>
              <w:spacing w:after="0"/>
            </w:pPr>
            <w:r>
              <w:rPr>
                <w:sz w:val="14"/>
              </w:rPr>
              <w:t>Maintain high expectations alongside reasonable adjustments, relational practice, regulation and reintegration support; review patterns by relevant pupil group.</w:t>
            </w:r>
          </w:p>
        </w:tc>
      </w:tr>
      <w:tr w:rsidR="00A311A5" w14:paraId="5B7E562D" w14:textId="77777777">
        <w:trPr>
          <w:cantSplit/>
          <w:jc w:val="center"/>
        </w:trPr>
        <w:tc>
          <w:tcPr>
            <w:tcW w:w="3485" w:type="dxa"/>
            <w:shd w:val="clear" w:color="auto" w:fill="F3F6F9"/>
          </w:tcPr>
          <w:p w14:paraId="33015A24" w14:textId="77777777" w:rsidR="00A311A5" w:rsidRDefault="00901044">
            <w:pPr>
              <w:spacing w:after="0"/>
            </w:pPr>
            <w:r>
              <w:rPr>
                <w:sz w:val="14"/>
              </w:rPr>
              <w:t>Prejudice-related incidents</w:t>
            </w:r>
          </w:p>
        </w:tc>
        <w:tc>
          <w:tcPr>
            <w:tcW w:w="3485" w:type="dxa"/>
            <w:shd w:val="clear" w:color="auto" w:fill="F3F6F9"/>
          </w:tcPr>
          <w:p w14:paraId="55EBE35B" w14:textId="77777777" w:rsidR="00A311A5" w:rsidRDefault="00901044">
            <w:pPr>
              <w:spacing w:after="0"/>
            </w:pPr>
            <w:r>
              <w:rPr>
                <w:sz w:val="14"/>
              </w:rPr>
              <w:t>Racial and sexual/prejudice-related incidents were monitored during 2025–26. This remains an important source of evidence about school culture and whether particular groups experience disproportionate harm.</w:t>
            </w:r>
          </w:p>
        </w:tc>
        <w:tc>
          <w:tcPr>
            <w:tcW w:w="3485" w:type="dxa"/>
            <w:shd w:val="clear" w:color="auto" w:fill="F3F6F9"/>
          </w:tcPr>
          <w:p w14:paraId="557DF073" w14:textId="77777777" w:rsidR="00A311A5" w:rsidRDefault="00901044">
            <w:pPr>
              <w:spacing w:after="0"/>
            </w:pPr>
            <w:r>
              <w:rPr>
                <w:sz w:val="14"/>
              </w:rPr>
              <w:t>Continue consistent recording, analysis and follow-up; identify themes, repeat patterns and curriculum/training responses. Report appropriately to governors.</w:t>
            </w:r>
          </w:p>
        </w:tc>
      </w:tr>
      <w:tr w:rsidR="00A311A5" w14:paraId="2C07A33D" w14:textId="77777777">
        <w:trPr>
          <w:cantSplit/>
          <w:jc w:val="center"/>
        </w:trPr>
        <w:tc>
          <w:tcPr>
            <w:tcW w:w="3485" w:type="dxa"/>
          </w:tcPr>
          <w:p w14:paraId="18BCD37E" w14:textId="77777777" w:rsidR="00A311A5" w:rsidRDefault="00901044">
            <w:pPr>
              <w:spacing w:after="0"/>
            </w:pPr>
            <w:r>
              <w:rPr>
                <w:sz w:val="14"/>
              </w:rPr>
              <w:t>SEND, disability and accessibility</w:t>
            </w:r>
          </w:p>
        </w:tc>
        <w:tc>
          <w:tcPr>
            <w:tcW w:w="3485" w:type="dxa"/>
          </w:tcPr>
          <w:p w14:paraId="1F0A45C4" w14:textId="77777777" w:rsidR="00A311A5" w:rsidRDefault="00901044">
            <w:pPr>
              <w:spacing w:after="0"/>
            </w:pPr>
            <w:r>
              <w:rPr>
                <w:sz w:val="14"/>
              </w:rPr>
              <w:t>The school has established a range of reasonable adjustments and inclusive provision. The Accessibility Plan has now been strengthened as a standalone 2026–29 plan covering curriculum, environment and information.</w:t>
            </w:r>
          </w:p>
        </w:tc>
        <w:tc>
          <w:tcPr>
            <w:tcW w:w="3485" w:type="dxa"/>
          </w:tcPr>
          <w:p w14:paraId="6823447F" w14:textId="77777777" w:rsidR="00A311A5" w:rsidRDefault="00901044">
            <w:pPr>
              <w:spacing w:after="0"/>
            </w:pPr>
            <w:r>
              <w:rPr>
                <w:sz w:val="14"/>
              </w:rPr>
              <w:t>Monitor whether adjustments remove barriers in practice through pupil/parent voice, QA, SEND review and participation information.</w:t>
            </w:r>
          </w:p>
        </w:tc>
      </w:tr>
      <w:tr w:rsidR="00A311A5" w14:paraId="61523E1C" w14:textId="77777777">
        <w:trPr>
          <w:cantSplit/>
          <w:jc w:val="center"/>
        </w:trPr>
        <w:tc>
          <w:tcPr>
            <w:tcW w:w="3485" w:type="dxa"/>
            <w:shd w:val="clear" w:color="auto" w:fill="F3F6F9"/>
          </w:tcPr>
          <w:p w14:paraId="3C0E329A" w14:textId="77777777" w:rsidR="00A311A5" w:rsidRDefault="00901044">
            <w:pPr>
              <w:spacing w:after="0"/>
            </w:pPr>
            <w:r>
              <w:rPr>
                <w:sz w:val="14"/>
              </w:rPr>
              <w:t>Participation and belonging</w:t>
            </w:r>
          </w:p>
        </w:tc>
        <w:tc>
          <w:tcPr>
            <w:tcW w:w="3485" w:type="dxa"/>
            <w:shd w:val="clear" w:color="auto" w:fill="F3F6F9"/>
          </w:tcPr>
          <w:p w14:paraId="07B816D0" w14:textId="77777777" w:rsidR="00A311A5" w:rsidRDefault="00901044">
            <w:pPr>
              <w:spacing w:after="0"/>
            </w:pPr>
            <w:r>
              <w:rPr>
                <w:sz w:val="14"/>
              </w:rPr>
              <w:t>The school provides broad opportunities through curriculum, OPAL/play, enrichment, trips and wider provision. 2025–26 evaluation highlighted the need for stronger quantitative participation tracking in some areas.</w:t>
            </w:r>
          </w:p>
        </w:tc>
        <w:tc>
          <w:tcPr>
            <w:tcW w:w="3485" w:type="dxa"/>
            <w:shd w:val="clear" w:color="auto" w:fill="F3F6F9"/>
          </w:tcPr>
          <w:p w14:paraId="3C4FED60" w14:textId="77777777" w:rsidR="00A311A5" w:rsidRDefault="00901044">
            <w:pPr>
              <w:spacing w:after="0"/>
            </w:pPr>
            <w:r>
              <w:rPr>
                <w:sz w:val="14"/>
              </w:rPr>
              <w:t>From September 2026, strengthen tracking of participation by relevant pupil group so that under-representation can be identified and acted upon.</w:t>
            </w:r>
          </w:p>
        </w:tc>
      </w:tr>
    </w:tbl>
    <w:p w14:paraId="2B25A7E4" w14:textId="77777777" w:rsidR="00A311A5" w:rsidRDefault="00901044">
      <w:pPr>
        <w:pStyle w:val="Heading1"/>
        <w:pageBreakBefore/>
      </w:pPr>
      <w:r>
        <w:lastRenderedPageBreak/>
        <w:t>6. Equality priorities for 2026–27</w:t>
      </w:r>
    </w:p>
    <w:p w14:paraId="5EA6A8FF" w14:textId="77777777" w:rsidR="00A311A5" w:rsidRDefault="00901044">
      <w:r>
        <w:t>The school’s broader equality objectives remain those set out in the Equality Information and Objectives Policy. For 2026–27, the following measurable annual priorities translate those objectives into current school action.</w:t>
      </w:r>
    </w:p>
    <w:tbl>
      <w:tblPr>
        <w:tblStyle w:val="TableGrid"/>
        <w:tblW w:w="0" w:type="auto"/>
        <w:jc w:val="center"/>
        <w:tblLook w:val="04A0" w:firstRow="1" w:lastRow="0" w:firstColumn="1" w:lastColumn="0" w:noHBand="0" w:noVBand="1"/>
      </w:tblPr>
      <w:tblGrid>
        <w:gridCol w:w="2088"/>
        <w:gridCol w:w="2088"/>
        <w:gridCol w:w="2090"/>
        <w:gridCol w:w="2090"/>
        <w:gridCol w:w="2088"/>
      </w:tblGrid>
      <w:tr w:rsidR="00A311A5" w14:paraId="16755247" w14:textId="77777777">
        <w:trPr>
          <w:cantSplit/>
          <w:tblHeader/>
          <w:jc w:val="center"/>
        </w:trPr>
        <w:tc>
          <w:tcPr>
            <w:tcW w:w="2091" w:type="dxa"/>
            <w:shd w:val="clear" w:color="auto" w:fill="1F4E79"/>
          </w:tcPr>
          <w:p w14:paraId="3AAE304E" w14:textId="77777777" w:rsidR="00A311A5" w:rsidRDefault="00901044">
            <w:pPr>
              <w:spacing w:after="0"/>
            </w:pPr>
            <w:r>
              <w:rPr>
                <w:b/>
                <w:color w:val="FFFFFF"/>
                <w:sz w:val="13"/>
              </w:rPr>
              <w:t>Annual priority</w:t>
            </w:r>
          </w:p>
        </w:tc>
        <w:tc>
          <w:tcPr>
            <w:tcW w:w="2091" w:type="dxa"/>
            <w:shd w:val="clear" w:color="auto" w:fill="1F4E79"/>
          </w:tcPr>
          <w:p w14:paraId="477FE8DE" w14:textId="77777777" w:rsidR="00A311A5" w:rsidRDefault="00901044">
            <w:pPr>
              <w:spacing w:after="0"/>
            </w:pPr>
            <w:r>
              <w:rPr>
                <w:b/>
                <w:color w:val="FFFFFF"/>
                <w:sz w:val="13"/>
              </w:rPr>
              <w:t>Objective</w:t>
            </w:r>
          </w:p>
        </w:tc>
        <w:tc>
          <w:tcPr>
            <w:tcW w:w="2091" w:type="dxa"/>
            <w:shd w:val="clear" w:color="auto" w:fill="1F4E79"/>
          </w:tcPr>
          <w:p w14:paraId="11155FE6" w14:textId="77777777" w:rsidR="00A311A5" w:rsidRDefault="00901044">
            <w:pPr>
              <w:spacing w:after="0"/>
            </w:pPr>
            <w:r>
              <w:rPr>
                <w:b/>
                <w:color w:val="FFFFFF"/>
                <w:sz w:val="13"/>
              </w:rPr>
              <w:t>2026–27 success measures</w:t>
            </w:r>
          </w:p>
        </w:tc>
        <w:tc>
          <w:tcPr>
            <w:tcW w:w="2091" w:type="dxa"/>
            <w:shd w:val="clear" w:color="auto" w:fill="1F4E79"/>
          </w:tcPr>
          <w:p w14:paraId="7C0CA676" w14:textId="77777777" w:rsidR="00A311A5" w:rsidRDefault="00901044">
            <w:pPr>
              <w:spacing w:after="0"/>
            </w:pPr>
            <w:r>
              <w:rPr>
                <w:b/>
                <w:color w:val="FFFFFF"/>
                <w:sz w:val="13"/>
              </w:rPr>
              <w:t>Evidence</w:t>
            </w:r>
          </w:p>
        </w:tc>
        <w:tc>
          <w:tcPr>
            <w:tcW w:w="2091" w:type="dxa"/>
            <w:shd w:val="clear" w:color="auto" w:fill="1F4E79"/>
          </w:tcPr>
          <w:p w14:paraId="0C5AE7A5" w14:textId="77777777" w:rsidR="00A311A5" w:rsidRDefault="00901044">
            <w:pPr>
              <w:spacing w:after="0"/>
            </w:pPr>
            <w:r>
              <w:rPr>
                <w:b/>
                <w:color w:val="FFFFFF"/>
                <w:sz w:val="13"/>
              </w:rPr>
              <w:t>Lead</w:t>
            </w:r>
          </w:p>
        </w:tc>
      </w:tr>
      <w:tr w:rsidR="00A311A5" w14:paraId="7C110E07" w14:textId="77777777">
        <w:trPr>
          <w:cantSplit/>
          <w:jc w:val="center"/>
        </w:trPr>
        <w:tc>
          <w:tcPr>
            <w:tcW w:w="2091" w:type="dxa"/>
          </w:tcPr>
          <w:p w14:paraId="2DE21D26" w14:textId="77777777" w:rsidR="00A311A5" w:rsidRDefault="00901044">
            <w:pPr>
              <w:spacing w:after="0"/>
            </w:pPr>
            <w:r>
              <w:rPr>
                <w:sz w:val="13"/>
              </w:rPr>
              <w:t>1. Equality of educational outcomes</w:t>
            </w:r>
          </w:p>
        </w:tc>
        <w:tc>
          <w:tcPr>
            <w:tcW w:w="2091" w:type="dxa"/>
          </w:tcPr>
          <w:p w14:paraId="56850CDA" w14:textId="77777777" w:rsidR="00A311A5" w:rsidRDefault="00901044">
            <w:pPr>
              <w:spacing w:after="0"/>
            </w:pPr>
            <w:r>
              <w:rPr>
                <w:sz w:val="13"/>
              </w:rPr>
              <w:t>Reduce identified disparities in attainment, progress and attendance for vulnerable pupil groups, with particular attention to pupils experiencing overlapping disadvantage and SEND.</w:t>
            </w:r>
          </w:p>
        </w:tc>
        <w:tc>
          <w:tcPr>
            <w:tcW w:w="2091" w:type="dxa"/>
          </w:tcPr>
          <w:p w14:paraId="494ADD10" w14:textId="77777777" w:rsidR="00A311A5" w:rsidRDefault="00901044">
            <w:pPr>
              <w:spacing w:after="0"/>
            </w:pPr>
            <w:r>
              <w:rPr>
                <w:sz w:val="13"/>
              </w:rPr>
              <w:t>• Group-level attainment/progress is reviewed termly.</w:t>
            </w:r>
            <w:r>
              <w:rPr>
                <w:sz w:val="13"/>
              </w:rPr>
              <w:br/>
              <w:t>• Disadvantaged attendance and PA gaps reduce from the previous baseline.</w:t>
            </w:r>
            <w:r>
              <w:rPr>
                <w:sz w:val="13"/>
              </w:rPr>
              <w:br/>
              <w:t>• Targeted pupils show measurable improvement following intervention.</w:t>
            </w:r>
            <w:r>
              <w:rPr>
                <w:sz w:val="13"/>
              </w:rPr>
              <w:br/>
              <w:t>• QA demonstrates consistent adaptive teaching and appropriate reasonable adjustments.</w:t>
            </w:r>
          </w:p>
        </w:tc>
        <w:tc>
          <w:tcPr>
            <w:tcW w:w="2091" w:type="dxa"/>
          </w:tcPr>
          <w:p w14:paraId="580F8ECB" w14:textId="77777777" w:rsidR="00A311A5" w:rsidRDefault="00901044">
            <w:pPr>
              <w:spacing w:after="0"/>
            </w:pPr>
            <w:r>
              <w:rPr>
                <w:sz w:val="13"/>
              </w:rPr>
              <w:t>Standards reports; PP strategy review; attendance dashboard; SEND reviews; QA evidence.</w:t>
            </w:r>
          </w:p>
        </w:tc>
        <w:tc>
          <w:tcPr>
            <w:tcW w:w="2091" w:type="dxa"/>
          </w:tcPr>
          <w:p w14:paraId="67E5F5BC" w14:textId="77777777" w:rsidR="00A311A5" w:rsidRDefault="00901044">
            <w:pPr>
              <w:spacing w:after="0"/>
            </w:pPr>
            <w:r>
              <w:rPr>
                <w:sz w:val="13"/>
              </w:rPr>
              <w:t>Standards Lead / PP Lead / SENDCo / Attendance Lead</w:t>
            </w:r>
          </w:p>
        </w:tc>
      </w:tr>
      <w:tr w:rsidR="00A311A5" w14:paraId="5DBBBB64" w14:textId="77777777">
        <w:trPr>
          <w:cantSplit/>
          <w:jc w:val="center"/>
        </w:trPr>
        <w:tc>
          <w:tcPr>
            <w:tcW w:w="2091" w:type="dxa"/>
            <w:shd w:val="clear" w:color="auto" w:fill="F3F6F9"/>
          </w:tcPr>
          <w:p w14:paraId="35540F7D" w14:textId="77777777" w:rsidR="00A311A5" w:rsidRDefault="00901044">
            <w:pPr>
              <w:spacing w:after="0"/>
            </w:pPr>
            <w:r>
              <w:rPr>
                <w:sz w:val="13"/>
              </w:rPr>
              <w:t>2. Equality of participation and belonging</w:t>
            </w:r>
          </w:p>
        </w:tc>
        <w:tc>
          <w:tcPr>
            <w:tcW w:w="2091" w:type="dxa"/>
            <w:shd w:val="clear" w:color="auto" w:fill="F3F6F9"/>
          </w:tcPr>
          <w:p w14:paraId="74E30C71" w14:textId="77777777" w:rsidR="00A311A5" w:rsidRDefault="00901044">
            <w:pPr>
              <w:spacing w:after="0"/>
            </w:pPr>
            <w:r>
              <w:rPr>
                <w:sz w:val="13"/>
              </w:rPr>
              <w:t>Ensure pupils with protected characteristics and other identified vulnerabilities can participate fully in curriculum, enrichment, trips, clubs, play and wider school life.</w:t>
            </w:r>
          </w:p>
        </w:tc>
        <w:tc>
          <w:tcPr>
            <w:tcW w:w="2091" w:type="dxa"/>
            <w:shd w:val="clear" w:color="auto" w:fill="F3F6F9"/>
          </w:tcPr>
          <w:p w14:paraId="456149AE" w14:textId="77777777" w:rsidR="00A311A5" w:rsidRDefault="00901044">
            <w:pPr>
              <w:spacing w:after="0"/>
            </w:pPr>
            <w:r>
              <w:rPr>
                <w:sz w:val="13"/>
              </w:rPr>
              <w:t>• Participation tracking is introduced/strengthened from September 2026.</w:t>
            </w:r>
            <w:r>
              <w:rPr>
                <w:sz w:val="13"/>
              </w:rPr>
              <w:br/>
              <w:t>• Leaders identify and respond to under-representation.</w:t>
            </w:r>
            <w:r>
              <w:rPr>
                <w:sz w:val="13"/>
              </w:rPr>
              <w:br/>
            </w:r>
            <w:r>
              <w:rPr>
                <w:sz w:val="13"/>
              </w:rPr>
              <w:t>• Financial, physical, communication or additional-needs barriers are addressed through reasonable and proportionate adjustments.</w:t>
            </w:r>
            <w:r>
              <w:rPr>
                <w:sz w:val="13"/>
              </w:rPr>
              <w:br/>
              <w:t>• Pupil voice indicates pupils feel included and able to participate.</w:t>
            </w:r>
          </w:p>
        </w:tc>
        <w:tc>
          <w:tcPr>
            <w:tcW w:w="2091" w:type="dxa"/>
            <w:shd w:val="clear" w:color="auto" w:fill="F3F6F9"/>
          </w:tcPr>
          <w:p w14:paraId="40547127" w14:textId="77777777" w:rsidR="00A311A5" w:rsidRDefault="00901044">
            <w:pPr>
              <w:spacing w:after="0"/>
            </w:pPr>
            <w:r>
              <w:rPr>
                <w:sz w:val="13"/>
              </w:rPr>
              <w:t>Participation tracker; Accessibility Plan review; trip/club records; pupil and parent voice.</w:t>
            </w:r>
          </w:p>
        </w:tc>
        <w:tc>
          <w:tcPr>
            <w:tcW w:w="2091" w:type="dxa"/>
            <w:shd w:val="clear" w:color="auto" w:fill="F3F6F9"/>
          </w:tcPr>
          <w:p w14:paraId="0285AFF3" w14:textId="77777777" w:rsidR="00A311A5" w:rsidRDefault="00901044">
            <w:pPr>
              <w:spacing w:after="0"/>
            </w:pPr>
            <w:r>
              <w:rPr>
                <w:sz w:val="13"/>
              </w:rPr>
              <w:t>SLT / SENDCo / Curriculum &amp; Enrichment Leads</w:t>
            </w:r>
          </w:p>
        </w:tc>
      </w:tr>
      <w:tr w:rsidR="00A311A5" w14:paraId="2B6DF74F" w14:textId="77777777">
        <w:trPr>
          <w:cantSplit/>
          <w:jc w:val="center"/>
        </w:trPr>
        <w:tc>
          <w:tcPr>
            <w:tcW w:w="2091" w:type="dxa"/>
          </w:tcPr>
          <w:p w14:paraId="0610DB6D" w14:textId="77777777" w:rsidR="00A311A5" w:rsidRDefault="00901044">
            <w:pPr>
              <w:spacing w:after="0"/>
            </w:pPr>
            <w:r>
              <w:rPr>
                <w:sz w:val="13"/>
              </w:rPr>
              <w:t>3. Prevent prejudice and strengthen good relations</w:t>
            </w:r>
          </w:p>
        </w:tc>
        <w:tc>
          <w:tcPr>
            <w:tcW w:w="2091" w:type="dxa"/>
          </w:tcPr>
          <w:p w14:paraId="4FBEA4E3" w14:textId="77777777" w:rsidR="00A311A5" w:rsidRDefault="00901044">
            <w:pPr>
              <w:spacing w:after="0"/>
            </w:pPr>
            <w:r>
              <w:rPr>
                <w:sz w:val="13"/>
              </w:rPr>
              <w:t>Prevent and respond effectively to prejudice-related behaviour and strengthen pupils’ understanding of equality, difference and respectful relationships.</w:t>
            </w:r>
          </w:p>
        </w:tc>
        <w:tc>
          <w:tcPr>
            <w:tcW w:w="2091" w:type="dxa"/>
          </w:tcPr>
          <w:p w14:paraId="5FC86C75" w14:textId="77777777" w:rsidR="00A311A5" w:rsidRDefault="00901044">
            <w:pPr>
              <w:spacing w:after="0"/>
            </w:pPr>
            <w:r>
              <w:rPr>
                <w:sz w:val="13"/>
              </w:rPr>
              <w:t>• Prejudice-related incidents are consistently recorded and analysed.</w:t>
            </w:r>
            <w:r>
              <w:rPr>
                <w:sz w:val="13"/>
              </w:rPr>
              <w:br/>
              <w:t>• Repeat patterns trigger targeted curriculum, pastoral or staff response.</w:t>
            </w:r>
            <w:r>
              <w:rPr>
                <w:sz w:val="13"/>
              </w:rPr>
              <w:br/>
              <w:t>• Pupil voice demonstrates understanding of respectful relationships and how to report concerns.</w:t>
            </w:r>
            <w:r>
              <w:rPr>
                <w:sz w:val="13"/>
              </w:rPr>
              <w:br/>
              <w:t>• Curriculum/PSHE monitoring demonstrates appropriate representation and teaching about equality and difference.</w:t>
            </w:r>
          </w:p>
        </w:tc>
        <w:tc>
          <w:tcPr>
            <w:tcW w:w="2091" w:type="dxa"/>
          </w:tcPr>
          <w:p w14:paraId="26F5B619" w14:textId="77777777" w:rsidR="00A311A5" w:rsidRDefault="00901044">
            <w:pPr>
              <w:spacing w:after="0"/>
            </w:pPr>
            <w:r>
              <w:rPr>
                <w:sz w:val="13"/>
              </w:rPr>
              <w:t>Incident analysis; behaviour/safeguarding records; PSHE/curriculum monitoring; pupil voice.</w:t>
            </w:r>
          </w:p>
        </w:tc>
        <w:tc>
          <w:tcPr>
            <w:tcW w:w="2091" w:type="dxa"/>
          </w:tcPr>
          <w:p w14:paraId="3B579EA5" w14:textId="77777777" w:rsidR="00A311A5" w:rsidRDefault="00901044">
            <w:pPr>
              <w:spacing w:after="0"/>
            </w:pPr>
            <w:r>
              <w:rPr>
                <w:sz w:val="13"/>
              </w:rPr>
              <w:t>DSL / Behaviour Lead / Personal Development Lead / Curriculum Leaders</w:t>
            </w:r>
          </w:p>
        </w:tc>
      </w:tr>
    </w:tbl>
    <w:p w14:paraId="34B56399" w14:textId="77777777" w:rsidR="00A311A5" w:rsidRDefault="00901044">
      <w:pPr>
        <w:pStyle w:val="Heading1"/>
      </w:pPr>
      <w:r>
        <w:t>7. Monitoring, governance and publication</w:t>
      </w:r>
    </w:p>
    <w:p w14:paraId="2DBAAC84" w14:textId="77777777" w:rsidR="00A311A5" w:rsidRDefault="00901044">
      <w:pPr>
        <w:pStyle w:val="ListBullet"/>
      </w:pPr>
      <w:r>
        <w:t>SLT will review equality-relevant information through existing standards, inclusion, attendance, safeguarding, behaviour and quality-assurance systems.</w:t>
      </w:r>
    </w:p>
    <w:p w14:paraId="6D7905D0" w14:textId="77777777" w:rsidR="00A311A5" w:rsidRDefault="00901044">
      <w:pPr>
        <w:pStyle w:val="ListBullet"/>
      </w:pPr>
      <w:r>
        <w:t>The Governing Board will receive an annual update on PSED compliance and progress against the equality priorities.</w:t>
      </w:r>
    </w:p>
    <w:p w14:paraId="56E0EFCD" w14:textId="77777777" w:rsidR="00A311A5" w:rsidRDefault="00901044">
      <w:pPr>
        <w:pStyle w:val="ListBullet"/>
      </w:pPr>
      <w:r>
        <w:t>Leaders will consider equality impact when significant policies, practices or provision are introduced or reviewed.</w:t>
      </w:r>
    </w:p>
    <w:p w14:paraId="0E5C7367" w14:textId="77777777" w:rsidR="00A311A5" w:rsidRDefault="00901044">
      <w:pPr>
        <w:pStyle w:val="ListBullet"/>
      </w:pPr>
      <w:r>
        <w:t>This annual information will be updated during 2026–27 and republished at least annually.</w:t>
      </w:r>
    </w:p>
    <w:p w14:paraId="0BC3E76D" w14:textId="77777777" w:rsidR="00A311A5" w:rsidRDefault="00901044">
      <w:pPr>
        <w:pStyle w:val="ListBullet"/>
      </w:pPr>
      <w:r>
        <w:t>The school will continue to publish its equality objectives at least every four years and sooner where evidence indicates that objectives should change.</w:t>
      </w:r>
    </w:p>
    <w:p w14:paraId="7591EC21" w14:textId="77777777" w:rsidR="00A311A5" w:rsidRDefault="00901044">
      <w:pPr>
        <w:pStyle w:val="ListBullet"/>
      </w:pPr>
      <w:r>
        <w:t>Information will be presented proportionately and will not identify individual pupils or very small cohorts.</w:t>
      </w:r>
    </w:p>
    <w:p w14:paraId="7A1C9C48" w14:textId="77777777" w:rsidR="00A311A5" w:rsidRDefault="00901044">
      <w:pPr>
        <w:pStyle w:val="Heading1"/>
      </w:pPr>
      <w:r>
        <w:t>8. End-of-year evaluation – July 2027</w:t>
      </w:r>
    </w:p>
    <w:p w14:paraId="36A45E62" w14:textId="77777777" w:rsidR="00A311A5" w:rsidRDefault="00901044">
      <w:r>
        <w:t>Complete this section as part of the annual review before preparing the 2027–28 published equality information.</w:t>
      </w:r>
    </w:p>
    <w:tbl>
      <w:tblPr>
        <w:tblStyle w:val="TableGrid"/>
        <w:tblW w:w="0" w:type="auto"/>
        <w:jc w:val="center"/>
        <w:tblLook w:val="04A0" w:firstRow="1" w:lastRow="0" w:firstColumn="1" w:lastColumn="0" w:noHBand="0" w:noVBand="1"/>
      </w:tblPr>
      <w:tblGrid>
        <w:gridCol w:w="5222"/>
        <w:gridCol w:w="5222"/>
      </w:tblGrid>
      <w:tr w:rsidR="00A311A5" w14:paraId="10919468" w14:textId="77777777">
        <w:trPr>
          <w:cantSplit/>
          <w:tblHeader/>
          <w:jc w:val="center"/>
        </w:trPr>
        <w:tc>
          <w:tcPr>
            <w:tcW w:w="5227" w:type="dxa"/>
            <w:shd w:val="clear" w:color="auto" w:fill="1F4E79"/>
          </w:tcPr>
          <w:p w14:paraId="5AC5A28D" w14:textId="77777777" w:rsidR="00A311A5" w:rsidRDefault="00901044">
            <w:pPr>
              <w:spacing w:after="0"/>
            </w:pPr>
            <w:r>
              <w:rPr>
                <w:b/>
                <w:color w:val="FFFFFF"/>
                <w:sz w:val="16"/>
              </w:rPr>
              <w:t>Area</w:t>
            </w:r>
          </w:p>
        </w:tc>
        <w:tc>
          <w:tcPr>
            <w:tcW w:w="5227" w:type="dxa"/>
            <w:shd w:val="clear" w:color="auto" w:fill="1F4E79"/>
          </w:tcPr>
          <w:p w14:paraId="6AF9E9F7" w14:textId="77777777" w:rsidR="00A311A5" w:rsidRDefault="00901044">
            <w:pPr>
              <w:spacing w:after="0"/>
            </w:pPr>
            <w:r>
              <w:rPr>
                <w:b/>
                <w:color w:val="FFFFFF"/>
                <w:sz w:val="16"/>
              </w:rPr>
              <w:t>Annual evaluation</w:t>
            </w:r>
          </w:p>
        </w:tc>
      </w:tr>
      <w:tr w:rsidR="00A311A5" w14:paraId="4C95D29A" w14:textId="77777777">
        <w:trPr>
          <w:cantSplit/>
          <w:jc w:val="center"/>
        </w:trPr>
        <w:tc>
          <w:tcPr>
            <w:tcW w:w="5227" w:type="dxa"/>
          </w:tcPr>
          <w:p w14:paraId="3BF70E02" w14:textId="77777777" w:rsidR="00A311A5" w:rsidRDefault="00901044">
            <w:pPr>
              <w:spacing w:after="0"/>
            </w:pPr>
            <w:r>
              <w:rPr>
                <w:sz w:val="16"/>
              </w:rPr>
              <w:t>Priority 1 – Equality of educational outcomes</w:t>
            </w:r>
          </w:p>
        </w:tc>
        <w:tc>
          <w:tcPr>
            <w:tcW w:w="5227" w:type="dxa"/>
          </w:tcPr>
          <w:p w14:paraId="0FE12D5C" w14:textId="1FF3DA75" w:rsidR="00A311A5" w:rsidRDefault="00A311A5">
            <w:pPr>
              <w:spacing w:after="0"/>
            </w:pPr>
          </w:p>
        </w:tc>
      </w:tr>
      <w:tr w:rsidR="00A311A5" w14:paraId="67AA502B" w14:textId="77777777">
        <w:trPr>
          <w:cantSplit/>
          <w:jc w:val="center"/>
        </w:trPr>
        <w:tc>
          <w:tcPr>
            <w:tcW w:w="5227" w:type="dxa"/>
            <w:shd w:val="clear" w:color="auto" w:fill="F3F6F9"/>
          </w:tcPr>
          <w:p w14:paraId="2ABD2FEB" w14:textId="77777777" w:rsidR="00A311A5" w:rsidRDefault="00901044">
            <w:pPr>
              <w:spacing w:after="0"/>
            </w:pPr>
            <w:r>
              <w:rPr>
                <w:sz w:val="16"/>
              </w:rPr>
              <w:t>Priority 2 – Equality of participation and belonging</w:t>
            </w:r>
          </w:p>
        </w:tc>
        <w:tc>
          <w:tcPr>
            <w:tcW w:w="5227" w:type="dxa"/>
            <w:shd w:val="clear" w:color="auto" w:fill="F3F6F9"/>
          </w:tcPr>
          <w:p w14:paraId="36E41945" w14:textId="69108F8C" w:rsidR="00A311A5" w:rsidRDefault="00A311A5">
            <w:pPr>
              <w:spacing w:after="0"/>
            </w:pPr>
          </w:p>
        </w:tc>
      </w:tr>
      <w:tr w:rsidR="00A311A5" w14:paraId="252CC4EA" w14:textId="77777777">
        <w:trPr>
          <w:cantSplit/>
          <w:jc w:val="center"/>
        </w:trPr>
        <w:tc>
          <w:tcPr>
            <w:tcW w:w="5227" w:type="dxa"/>
          </w:tcPr>
          <w:p w14:paraId="0BD2753D" w14:textId="77777777" w:rsidR="00A311A5" w:rsidRDefault="00901044">
            <w:pPr>
              <w:spacing w:after="0"/>
            </w:pPr>
            <w:r>
              <w:rPr>
                <w:sz w:val="16"/>
              </w:rPr>
              <w:t>Priority 3 – Prevent prejudice and strengthen good relations</w:t>
            </w:r>
          </w:p>
        </w:tc>
        <w:tc>
          <w:tcPr>
            <w:tcW w:w="5227" w:type="dxa"/>
          </w:tcPr>
          <w:p w14:paraId="23E8630E" w14:textId="3B5FCDEB" w:rsidR="00A311A5" w:rsidRDefault="00A311A5">
            <w:pPr>
              <w:spacing w:after="0"/>
            </w:pPr>
          </w:p>
        </w:tc>
      </w:tr>
      <w:tr w:rsidR="00A311A5" w14:paraId="33E33110" w14:textId="77777777">
        <w:trPr>
          <w:cantSplit/>
          <w:jc w:val="center"/>
        </w:trPr>
        <w:tc>
          <w:tcPr>
            <w:tcW w:w="5227" w:type="dxa"/>
            <w:shd w:val="clear" w:color="auto" w:fill="F3F6F9"/>
          </w:tcPr>
          <w:p w14:paraId="418AFAA8" w14:textId="77777777" w:rsidR="00A311A5" w:rsidRDefault="00901044">
            <w:pPr>
              <w:spacing w:after="0"/>
            </w:pPr>
            <w:r>
              <w:rPr>
                <w:sz w:val="16"/>
              </w:rPr>
              <w:t>Overall PSED evaluation</w:t>
            </w:r>
          </w:p>
        </w:tc>
        <w:tc>
          <w:tcPr>
            <w:tcW w:w="5227" w:type="dxa"/>
            <w:shd w:val="clear" w:color="auto" w:fill="F3F6F9"/>
          </w:tcPr>
          <w:p w14:paraId="0BBEDAF9" w14:textId="656B84F7" w:rsidR="00A311A5" w:rsidRDefault="00A311A5">
            <w:pPr>
              <w:spacing w:after="0"/>
            </w:pPr>
          </w:p>
        </w:tc>
      </w:tr>
    </w:tbl>
    <w:p w14:paraId="11BBB28D" w14:textId="68D8D457" w:rsidR="00A311A5" w:rsidRDefault="00A311A5"/>
    <w:sectPr w:rsidR="00A311A5" w:rsidSect="00034616">
      <w:footerReference w:type="default" r:id="rId8"/>
      <w:pgSz w:w="12240" w:h="15840"/>
      <w:pgMar w:top="792" w:right="893" w:bottom="792" w:left="893"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41C990" w14:textId="77777777" w:rsidR="00901044" w:rsidRDefault="00901044">
      <w:pPr>
        <w:spacing w:after="0" w:line="240" w:lineRule="auto"/>
      </w:pPr>
      <w:r>
        <w:separator/>
      </w:r>
    </w:p>
  </w:endnote>
  <w:endnote w:type="continuationSeparator" w:id="0">
    <w:p w14:paraId="697316A8" w14:textId="77777777" w:rsidR="00901044" w:rsidRDefault="009010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2649CE" w14:textId="77777777" w:rsidR="00A311A5" w:rsidRDefault="00901044">
    <w:pPr>
      <w:pStyle w:val="Footer"/>
      <w:jc w:val="center"/>
    </w:pPr>
    <w:r>
      <w:rPr>
        <w:color w:val="646464"/>
        <w:sz w:val="15"/>
      </w:rPr>
      <w:t>Templars Primary School | PSED Annual Equality Information &amp; Progress Report 2026–27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29E294" w14:textId="77777777" w:rsidR="00901044" w:rsidRDefault="00901044">
      <w:pPr>
        <w:spacing w:after="0" w:line="240" w:lineRule="auto"/>
      </w:pPr>
      <w:r>
        <w:separator/>
      </w:r>
    </w:p>
  </w:footnote>
  <w:footnote w:type="continuationSeparator" w:id="0">
    <w:p w14:paraId="17C6876E" w14:textId="77777777" w:rsidR="00901044" w:rsidRDefault="0090104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921133242">
    <w:abstractNumId w:val="8"/>
  </w:num>
  <w:num w:numId="2" w16cid:durableId="1351951306">
    <w:abstractNumId w:val="6"/>
  </w:num>
  <w:num w:numId="3" w16cid:durableId="712581927">
    <w:abstractNumId w:val="5"/>
  </w:num>
  <w:num w:numId="4" w16cid:durableId="1004239504">
    <w:abstractNumId w:val="4"/>
  </w:num>
  <w:num w:numId="5" w16cid:durableId="343635276">
    <w:abstractNumId w:val="7"/>
  </w:num>
  <w:num w:numId="6" w16cid:durableId="1466772138">
    <w:abstractNumId w:val="3"/>
  </w:num>
  <w:num w:numId="7" w16cid:durableId="2005281499">
    <w:abstractNumId w:val="2"/>
  </w:num>
  <w:num w:numId="8" w16cid:durableId="2096704936">
    <w:abstractNumId w:val="1"/>
  </w:num>
  <w:num w:numId="9" w16cid:durableId="1620137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757C4E"/>
    <w:rsid w:val="00901044"/>
    <w:rsid w:val="00A311A5"/>
    <w:rsid w:val="00AA1D8D"/>
    <w:rsid w:val="00B47730"/>
    <w:rsid w:val="00CB0664"/>
    <w:rsid w:val="00DE6958"/>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892437C"/>
  <w14:defaultImageDpi w14:val="300"/>
  <w15:docId w15:val="{F477F42A-7870-4BA9-BEE6-E31200F756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80"/>
    </w:pPr>
    <w:rPr>
      <w:rFonts w:ascii="Aptos" w:hAnsi="Aptos"/>
      <w:sz w:val="18"/>
    </w:rPr>
  </w:style>
  <w:style w:type="paragraph" w:styleId="Heading1">
    <w:name w:val="heading 1"/>
    <w:basedOn w:val="Normal"/>
    <w:next w:val="Normal"/>
    <w:link w:val="Heading1Char"/>
    <w:uiPriority w:val="9"/>
    <w:qFormat/>
    <w:rsid w:val="00FC693F"/>
    <w:pPr>
      <w:keepNext/>
      <w:keepLines/>
      <w:spacing w:before="140"/>
      <w:outlineLvl w:val="0"/>
    </w:pPr>
    <w:rPr>
      <w:rFonts w:asciiTheme="majorHAnsi" w:eastAsiaTheme="majorEastAsia" w:hAnsiTheme="majorHAnsi" w:cstheme="majorBidi"/>
      <w:b/>
      <w:bCs/>
      <w:color w:val="1F4E79"/>
      <w:sz w:val="30"/>
      <w:szCs w:val="28"/>
    </w:rPr>
  </w:style>
  <w:style w:type="paragraph" w:styleId="Heading2">
    <w:name w:val="heading 2"/>
    <w:basedOn w:val="Normal"/>
    <w:next w:val="Normal"/>
    <w:link w:val="Heading2Char"/>
    <w:uiPriority w:val="9"/>
    <w:unhideWhenUsed/>
    <w:qFormat/>
    <w:rsid w:val="00FC693F"/>
    <w:pPr>
      <w:keepNext/>
      <w:keepLines/>
      <w:spacing w:before="140"/>
      <w:outlineLvl w:val="1"/>
    </w:pPr>
    <w:rPr>
      <w:rFonts w:asciiTheme="majorHAnsi" w:eastAsiaTheme="majorEastAsia" w:hAnsiTheme="majorHAnsi" w:cstheme="majorBidi"/>
      <w:b/>
      <w:bCs/>
      <w:color w:val="1F4E79"/>
      <w:sz w:val="23"/>
      <w:szCs w:val="26"/>
    </w:rPr>
  </w:style>
  <w:style w:type="paragraph" w:styleId="Heading3">
    <w:name w:val="heading 3"/>
    <w:basedOn w:val="Normal"/>
    <w:next w:val="Normal"/>
    <w:link w:val="Heading3Char"/>
    <w:uiPriority w:val="9"/>
    <w:unhideWhenUsed/>
    <w:qFormat/>
    <w:rsid w:val="00FC693F"/>
    <w:pPr>
      <w:keepNext/>
      <w:keepLines/>
      <w:spacing w:before="140"/>
      <w:outlineLvl w:val="2"/>
    </w:pPr>
    <w:rPr>
      <w:rFonts w:asciiTheme="majorHAnsi" w:eastAsiaTheme="majorEastAsia" w:hAnsiTheme="majorHAnsi" w:cstheme="majorBidi"/>
      <w:b/>
      <w:bCs/>
      <w:color w:val="1F4E79"/>
      <w:sz w:val="20"/>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before="140" w:line="240" w:lineRule="auto"/>
      <w:contextualSpacing/>
    </w:pPr>
    <w:rPr>
      <w:rFonts w:asciiTheme="majorHAnsi" w:eastAsiaTheme="majorEastAsia" w:hAnsiTheme="majorHAnsi" w:cstheme="majorBidi"/>
      <w:b/>
      <w:color w:val="1F4E79"/>
      <w:spacing w:val="5"/>
      <w:kern w:val="28"/>
      <w:sz w:val="4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1657</Words>
  <Characters>9448</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11083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Kerri Davies</cp:lastModifiedBy>
  <cp:revision>2</cp:revision>
  <dcterms:created xsi:type="dcterms:W3CDTF">2026-08-31T10:28:00Z</dcterms:created>
  <dcterms:modified xsi:type="dcterms:W3CDTF">2026-08-31T10:28:00Z</dcterms:modified>
  <cp:category/>
</cp:coreProperties>
</file>