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41304C" w14:textId="77777777" w:rsidR="00305781" w:rsidRDefault="0048767E">
      <w:pPr>
        <w:jc w:val="center"/>
      </w:pPr>
      <w:r>
        <w:rPr>
          <w:b/>
          <w:color w:val="1F4E79"/>
          <w:sz w:val="24"/>
        </w:rPr>
        <w:t>TEMPLARS PRIMARY SCHOOL</w:t>
      </w:r>
    </w:p>
    <w:p w14:paraId="6FE6AD72" w14:textId="77777777" w:rsidR="00305781" w:rsidRDefault="0048767E">
      <w:pPr>
        <w:pStyle w:val="Title"/>
        <w:jc w:val="center"/>
      </w:pPr>
      <w:r>
        <w:t>Pupil Premium Strategy Statement</w:t>
      </w:r>
    </w:p>
    <w:p w14:paraId="7F98E672" w14:textId="77777777" w:rsidR="00305781" w:rsidRDefault="0048767E">
      <w:pPr>
        <w:jc w:val="center"/>
      </w:pPr>
      <w:r>
        <w:rPr>
          <w:b/>
          <w:sz w:val="22"/>
        </w:rPr>
        <w:t>2026–2029 Strategy | 2026–27 Annual Statement</w:t>
      </w:r>
    </w:p>
    <w:p w14:paraId="27CDA352" w14:textId="77777777" w:rsidR="00305781" w:rsidRDefault="0048767E">
      <w:pPr>
        <w:jc w:val="center"/>
      </w:pPr>
      <w:r>
        <w:rPr>
          <w:b/>
        </w:rPr>
        <w:t>Every Child • Every Day • Every Chance</w:t>
      </w:r>
    </w:p>
    <w:p w14:paraId="16FF36AA" w14:textId="77777777" w:rsidR="00305781" w:rsidRDefault="0048767E">
      <w:r>
        <w:t>This statement details Templars Primary School’s use of pupil premium funding to improve the educational outcomes of disadvantaged pupils. It outlines our three-year strategy, the approaches funded in 2026–27, and our evaluation of outcomes for disadvantaged pupils in 2025–26.</w:t>
      </w:r>
    </w:p>
    <w:p w14:paraId="57E0E23C" w14:textId="77777777" w:rsidR="00305781" w:rsidRDefault="0048767E">
      <w:pPr>
        <w:pStyle w:val="Heading1"/>
      </w:pPr>
      <w:r>
        <w:t>School overview</w:t>
      </w:r>
    </w:p>
    <w:tbl>
      <w:tblPr>
        <w:tblStyle w:val="TableGrid"/>
        <w:tblW w:w="0" w:type="auto"/>
        <w:jc w:val="center"/>
        <w:tblLook w:val="04A0" w:firstRow="1" w:lastRow="0" w:firstColumn="1" w:lastColumn="0" w:noHBand="0" w:noVBand="1"/>
      </w:tblPr>
      <w:tblGrid>
        <w:gridCol w:w="5179"/>
        <w:gridCol w:w="5179"/>
      </w:tblGrid>
      <w:tr w:rsidR="00305781" w14:paraId="73504205" w14:textId="77777777">
        <w:trPr>
          <w:jc w:val="center"/>
        </w:trPr>
        <w:tc>
          <w:tcPr>
            <w:tcW w:w="5184" w:type="dxa"/>
            <w:shd w:val="clear" w:color="auto" w:fill="1F4E79"/>
          </w:tcPr>
          <w:p w14:paraId="695406C3" w14:textId="77777777" w:rsidR="00305781" w:rsidRDefault="0048767E">
            <w:pPr>
              <w:spacing w:after="0"/>
            </w:pPr>
            <w:r>
              <w:rPr>
                <w:b/>
                <w:color w:val="FFFFFF"/>
                <w:sz w:val="17"/>
              </w:rPr>
              <w:t>Detail</w:t>
            </w:r>
          </w:p>
        </w:tc>
        <w:tc>
          <w:tcPr>
            <w:tcW w:w="5184" w:type="dxa"/>
            <w:shd w:val="clear" w:color="auto" w:fill="1F4E79"/>
          </w:tcPr>
          <w:p w14:paraId="5794676A" w14:textId="77777777" w:rsidR="00305781" w:rsidRDefault="0048767E">
            <w:pPr>
              <w:spacing w:after="0"/>
            </w:pPr>
            <w:r>
              <w:rPr>
                <w:b/>
                <w:color w:val="FFFFFF"/>
                <w:sz w:val="17"/>
              </w:rPr>
              <w:t>Data</w:t>
            </w:r>
          </w:p>
        </w:tc>
      </w:tr>
      <w:tr w:rsidR="00305781" w14:paraId="65FBD043" w14:textId="77777777">
        <w:trPr>
          <w:jc w:val="center"/>
        </w:trPr>
        <w:tc>
          <w:tcPr>
            <w:tcW w:w="5184" w:type="dxa"/>
          </w:tcPr>
          <w:p w14:paraId="6901A4F6" w14:textId="77777777" w:rsidR="00305781" w:rsidRDefault="0048767E">
            <w:pPr>
              <w:spacing w:after="0"/>
            </w:pPr>
            <w:r>
              <w:rPr>
                <w:sz w:val="17"/>
              </w:rPr>
              <w:t>Number of pupils in school</w:t>
            </w:r>
          </w:p>
        </w:tc>
        <w:tc>
          <w:tcPr>
            <w:tcW w:w="5184" w:type="dxa"/>
          </w:tcPr>
          <w:p w14:paraId="7F2267FA" w14:textId="19FA622E" w:rsidR="00305781" w:rsidRDefault="00650FD8">
            <w:pPr>
              <w:spacing w:after="0"/>
            </w:pPr>
            <w:r>
              <w:t>583</w:t>
            </w:r>
          </w:p>
        </w:tc>
      </w:tr>
      <w:tr w:rsidR="00305781" w14:paraId="7E85E971" w14:textId="77777777">
        <w:trPr>
          <w:jc w:val="center"/>
        </w:trPr>
        <w:tc>
          <w:tcPr>
            <w:tcW w:w="5184" w:type="dxa"/>
            <w:shd w:val="clear" w:color="auto" w:fill="F4F7FA"/>
          </w:tcPr>
          <w:p w14:paraId="087190A8" w14:textId="77777777" w:rsidR="00305781" w:rsidRDefault="0048767E">
            <w:pPr>
              <w:spacing w:after="0"/>
            </w:pPr>
            <w:r>
              <w:rPr>
                <w:sz w:val="17"/>
              </w:rPr>
              <w:t>Proportion (%) of pupil premium eligible pupils</w:t>
            </w:r>
          </w:p>
        </w:tc>
        <w:tc>
          <w:tcPr>
            <w:tcW w:w="5184" w:type="dxa"/>
            <w:shd w:val="clear" w:color="auto" w:fill="F4F7FA"/>
          </w:tcPr>
          <w:p w14:paraId="07C7293E" w14:textId="6474C1A8" w:rsidR="00305781" w:rsidRDefault="00650FD8">
            <w:pPr>
              <w:spacing w:after="0"/>
            </w:pPr>
            <w:r>
              <w:t>215 (36%)</w:t>
            </w:r>
          </w:p>
        </w:tc>
      </w:tr>
      <w:tr w:rsidR="00305781" w14:paraId="1CC59C1E" w14:textId="77777777">
        <w:trPr>
          <w:jc w:val="center"/>
        </w:trPr>
        <w:tc>
          <w:tcPr>
            <w:tcW w:w="5184" w:type="dxa"/>
          </w:tcPr>
          <w:p w14:paraId="72597D8C" w14:textId="77777777" w:rsidR="00305781" w:rsidRDefault="0048767E">
            <w:pPr>
              <w:spacing w:after="0"/>
            </w:pPr>
            <w:r>
              <w:rPr>
                <w:sz w:val="17"/>
              </w:rPr>
              <w:t>Academic years covered by this strategy</w:t>
            </w:r>
          </w:p>
        </w:tc>
        <w:tc>
          <w:tcPr>
            <w:tcW w:w="5184" w:type="dxa"/>
          </w:tcPr>
          <w:p w14:paraId="6E325A78" w14:textId="77777777" w:rsidR="00305781" w:rsidRDefault="0048767E">
            <w:pPr>
              <w:spacing w:after="0"/>
            </w:pPr>
            <w:r>
              <w:rPr>
                <w:sz w:val="17"/>
              </w:rPr>
              <w:t>September 2026 – July 2029</w:t>
            </w:r>
          </w:p>
        </w:tc>
      </w:tr>
      <w:tr w:rsidR="00305781" w14:paraId="08E17AA0" w14:textId="77777777">
        <w:trPr>
          <w:jc w:val="center"/>
        </w:trPr>
        <w:tc>
          <w:tcPr>
            <w:tcW w:w="5184" w:type="dxa"/>
            <w:shd w:val="clear" w:color="auto" w:fill="F4F7FA"/>
          </w:tcPr>
          <w:p w14:paraId="6402DB60" w14:textId="77777777" w:rsidR="00305781" w:rsidRDefault="0048767E">
            <w:pPr>
              <w:spacing w:after="0"/>
            </w:pPr>
            <w:r>
              <w:rPr>
                <w:sz w:val="17"/>
              </w:rPr>
              <w:t>Date this statement was published</w:t>
            </w:r>
          </w:p>
        </w:tc>
        <w:tc>
          <w:tcPr>
            <w:tcW w:w="5184" w:type="dxa"/>
            <w:shd w:val="clear" w:color="auto" w:fill="F4F7FA"/>
          </w:tcPr>
          <w:p w14:paraId="5CA6DFB8" w14:textId="67BADC86" w:rsidR="00305781" w:rsidRDefault="00650FD8">
            <w:pPr>
              <w:spacing w:after="0"/>
            </w:pPr>
            <w:r>
              <w:t>6</w:t>
            </w:r>
            <w:r w:rsidRPr="00650FD8">
              <w:rPr>
                <w:vertAlign w:val="superscript"/>
              </w:rPr>
              <w:t>th</w:t>
            </w:r>
            <w:r>
              <w:t xml:space="preserve"> Sept 2026</w:t>
            </w:r>
          </w:p>
        </w:tc>
      </w:tr>
      <w:tr w:rsidR="00305781" w14:paraId="4497DF9F" w14:textId="77777777">
        <w:trPr>
          <w:jc w:val="center"/>
        </w:trPr>
        <w:tc>
          <w:tcPr>
            <w:tcW w:w="5184" w:type="dxa"/>
          </w:tcPr>
          <w:p w14:paraId="4D2A0B5D" w14:textId="77777777" w:rsidR="00305781" w:rsidRDefault="0048767E">
            <w:pPr>
              <w:spacing w:after="0"/>
            </w:pPr>
            <w:r>
              <w:rPr>
                <w:sz w:val="17"/>
              </w:rPr>
              <w:t>Date on which it will be reviewed</w:t>
            </w:r>
          </w:p>
        </w:tc>
        <w:tc>
          <w:tcPr>
            <w:tcW w:w="5184" w:type="dxa"/>
          </w:tcPr>
          <w:p w14:paraId="6102D450" w14:textId="77777777" w:rsidR="00305781" w:rsidRDefault="0048767E">
            <w:pPr>
              <w:spacing w:after="0"/>
            </w:pPr>
            <w:r>
              <w:rPr>
                <w:sz w:val="17"/>
              </w:rPr>
              <w:t>July 2027</w:t>
            </w:r>
          </w:p>
        </w:tc>
      </w:tr>
      <w:tr w:rsidR="00305781" w14:paraId="6055B6E2" w14:textId="77777777">
        <w:trPr>
          <w:jc w:val="center"/>
        </w:trPr>
        <w:tc>
          <w:tcPr>
            <w:tcW w:w="5184" w:type="dxa"/>
            <w:shd w:val="clear" w:color="auto" w:fill="F4F7FA"/>
          </w:tcPr>
          <w:p w14:paraId="116AB972" w14:textId="77777777" w:rsidR="00305781" w:rsidRDefault="0048767E">
            <w:pPr>
              <w:spacing w:after="0"/>
            </w:pPr>
            <w:r>
              <w:rPr>
                <w:sz w:val="17"/>
              </w:rPr>
              <w:t>Statement authorised by</w:t>
            </w:r>
          </w:p>
        </w:tc>
        <w:tc>
          <w:tcPr>
            <w:tcW w:w="5184" w:type="dxa"/>
            <w:shd w:val="clear" w:color="auto" w:fill="F4F7FA"/>
          </w:tcPr>
          <w:p w14:paraId="4659065B" w14:textId="77777777" w:rsidR="00305781" w:rsidRDefault="0048767E">
            <w:pPr>
              <w:spacing w:after="0"/>
            </w:pPr>
            <w:r>
              <w:rPr>
                <w:sz w:val="17"/>
              </w:rPr>
              <w:t>Helen Benarous – Headteacher</w:t>
            </w:r>
          </w:p>
        </w:tc>
      </w:tr>
      <w:tr w:rsidR="00305781" w14:paraId="58A16289" w14:textId="77777777">
        <w:trPr>
          <w:jc w:val="center"/>
        </w:trPr>
        <w:tc>
          <w:tcPr>
            <w:tcW w:w="5184" w:type="dxa"/>
          </w:tcPr>
          <w:p w14:paraId="5355F689" w14:textId="77777777" w:rsidR="00305781" w:rsidRDefault="0048767E">
            <w:pPr>
              <w:spacing w:after="0"/>
            </w:pPr>
            <w:r>
              <w:rPr>
                <w:sz w:val="17"/>
              </w:rPr>
              <w:t>Pupil premium lead</w:t>
            </w:r>
          </w:p>
        </w:tc>
        <w:tc>
          <w:tcPr>
            <w:tcW w:w="5184" w:type="dxa"/>
          </w:tcPr>
          <w:p w14:paraId="23DFB7F8" w14:textId="77777777" w:rsidR="00305781" w:rsidRDefault="0048767E">
            <w:pPr>
              <w:spacing w:after="0"/>
            </w:pPr>
            <w:r>
              <w:rPr>
                <w:sz w:val="17"/>
              </w:rPr>
              <w:t>Kerri Davies</w:t>
            </w:r>
          </w:p>
        </w:tc>
      </w:tr>
      <w:tr w:rsidR="00305781" w14:paraId="2D81B16C" w14:textId="77777777">
        <w:trPr>
          <w:jc w:val="center"/>
        </w:trPr>
        <w:tc>
          <w:tcPr>
            <w:tcW w:w="5184" w:type="dxa"/>
            <w:shd w:val="clear" w:color="auto" w:fill="F4F7FA"/>
          </w:tcPr>
          <w:p w14:paraId="424DF983" w14:textId="77777777" w:rsidR="00305781" w:rsidRDefault="0048767E">
            <w:pPr>
              <w:spacing w:after="0"/>
            </w:pPr>
            <w:r>
              <w:rPr>
                <w:sz w:val="17"/>
              </w:rPr>
              <w:t>Governor lead</w:t>
            </w:r>
          </w:p>
        </w:tc>
        <w:tc>
          <w:tcPr>
            <w:tcW w:w="5184" w:type="dxa"/>
            <w:shd w:val="clear" w:color="auto" w:fill="F4F7FA"/>
          </w:tcPr>
          <w:p w14:paraId="4469E4F7" w14:textId="77777777" w:rsidR="00305781" w:rsidRDefault="0048767E">
            <w:pPr>
              <w:spacing w:after="0"/>
            </w:pPr>
            <w:r>
              <w:rPr>
                <w:sz w:val="17"/>
              </w:rPr>
              <w:t>Martin Vickery</w:t>
            </w:r>
          </w:p>
        </w:tc>
      </w:tr>
    </w:tbl>
    <w:p w14:paraId="63803FF8" w14:textId="77777777" w:rsidR="00305781" w:rsidRDefault="0048767E">
      <w:pPr>
        <w:pStyle w:val="Heading1"/>
      </w:pPr>
      <w:r>
        <w:t>Funding overview</w:t>
      </w:r>
    </w:p>
    <w:tbl>
      <w:tblPr>
        <w:tblStyle w:val="TableGrid"/>
        <w:tblW w:w="0" w:type="auto"/>
        <w:jc w:val="center"/>
        <w:tblLook w:val="04A0" w:firstRow="1" w:lastRow="0" w:firstColumn="1" w:lastColumn="0" w:noHBand="0" w:noVBand="1"/>
      </w:tblPr>
      <w:tblGrid>
        <w:gridCol w:w="5179"/>
        <w:gridCol w:w="5179"/>
      </w:tblGrid>
      <w:tr w:rsidR="00305781" w14:paraId="13A65628" w14:textId="77777777">
        <w:trPr>
          <w:jc w:val="center"/>
        </w:trPr>
        <w:tc>
          <w:tcPr>
            <w:tcW w:w="5184" w:type="dxa"/>
            <w:shd w:val="clear" w:color="auto" w:fill="1F4E79"/>
          </w:tcPr>
          <w:p w14:paraId="4A22EEBA" w14:textId="77777777" w:rsidR="00305781" w:rsidRDefault="0048767E">
            <w:pPr>
              <w:spacing w:after="0"/>
            </w:pPr>
            <w:r>
              <w:rPr>
                <w:b/>
                <w:color w:val="FFFFFF"/>
                <w:sz w:val="17"/>
              </w:rPr>
              <w:t>Detail</w:t>
            </w:r>
          </w:p>
        </w:tc>
        <w:tc>
          <w:tcPr>
            <w:tcW w:w="5184" w:type="dxa"/>
            <w:shd w:val="clear" w:color="auto" w:fill="1F4E79"/>
          </w:tcPr>
          <w:p w14:paraId="392D230C" w14:textId="77777777" w:rsidR="00305781" w:rsidRDefault="0048767E">
            <w:pPr>
              <w:spacing w:after="0"/>
            </w:pPr>
            <w:r>
              <w:rPr>
                <w:b/>
                <w:color w:val="FFFFFF"/>
                <w:sz w:val="17"/>
              </w:rPr>
              <w:t>Amount</w:t>
            </w:r>
          </w:p>
        </w:tc>
      </w:tr>
      <w:tr w:rsidR="00305781" w14:paraId="3040729D" w14:textId="77777777">
        <w:trPr>
          <w:jc w:val="center"/>
        </w:trPr>
        <w:tc>
          <w:tcPr>
            <w:tcW w:w="5184" w:type="dxa"/>
          </w:tcPr>
          <w:p w14:paraId="6F440B5A" w14:textId="77777777" w:rsidR="00305781" w:rsidRDefault="0048767E">
            <w:pPr>
              <w:spacing w:after="0"/>
            </w:pPr>
            <w:r>
              <w:rPr>
                <w:sz w:val="17"/>
              </w:rPr>
              <w:t>Pupil premium funding allocation this academic year</w:t>
            </w:r>
          </w:p>
        </w:tc>
        <w:tc>
          <w:tcPr>
            <w:tcW w:w="5184" w:type="dxa"/>
          </w:tcPr>
          <w:p w14:paraId="20747F32" w14:textId="020A0DD3" w:rsidR="00305781" w:rsidRDefault="00732A20">
            <w:pPr>
              <w:spacing w:after="0"/>
            </w:pPr>
            <w:r>
              <w:t xml:space="preserve">Indicative- </w:t>
            </w:r>
            <w:r w:rsidR="00B85325">
              <w:t>£332,620</w:t>
            </w:r>
          </w:p>
        </w:tc>
      </w:tr>
      <w:tr w:rsidR="00305781" w14:paraId="23F853E9" w14:textId="77777777">
        <w:trPr>
          <w:jc w:val="center"/>
        </w:trPr>
        <w:tc>
          <w:tcPr>
            <w:tcW w:w="5184" w:type="dxa"/>
            <w:shd w:val="clear" w:color="auto" w:fill="F4F7FA"/>
          </w:tcPr>
          <w:p w14:paraId="3379B585" w14:textId="77777777" w:rsidR="00305781" w:rsidRDefault="0048767E">
            <w:pPr>
              <w:spacing w:after="0"/>
            </w:pPr>
            <w:r>
              <w:rPr>
                <w:sz w:val="17"/>
              </w:rPr>
              <w:t>Pupil premium funding carried forward from previous years</w:t>
            </w:r>
          </w:p>
        </w:tc>
        <w:tc>
          <w:tcPr>
            <w:tcW w:w="5184" w:type="dxa"/>
            <w:shd w:val="clear" w:color="auto" w:fill="F4F7FA"/>
          </w:tcPr>
          <w:p w14:paraId="5F3589E7" w14:textId="592F8A13" w:rsidR="00305781" w:rsidRDefault="00B85325">
            <w:pPr>
              <w:spacing w:after="0"/>
            </w:pPr>
            <w:r>
              <w:t>£0</w:t>
            </w:r>
          </w:p>
        </w:tc>
      </w:tr>
      <w:tr w:rsidR="00305781" w14:paraId="2080CA0C" w14:textId="77777777">
        <w:trPr>
          <w:jc w:val="center"/>
        </w:trPr>
        <w:tc>
          <w:tcPr>
            <w:tcW w:w="5184" w:type="dxa"/>
          </w:tcPr>
          <w:p w14:paraId="08B7E831" w14:textId="77777777" w:rsidR="00305781" w:rsidRDefault="0048767E">
            <w:pPr>
              <w:spacing w:after="0"/>
            </w:pPr>
            <w:r>
              <w:rPr>
                <w:sz w:val="17"/>
              </w:rPr>
              <w:t>Total budget for this academic year</w:t>
            </w:r>
          </w:p>
        </w:tc>
        <w:tc>
          <w:tcPr>
            <w:tcW w:w="5184" w:type="dxa"/>
          </w:tcPr>
          <w:p w14:paraId="12534B6A" w14:textId="4659E745" w:rsidR="00305781" w:rsidRDefault="00B85325">
            <w:pPr>
              <w:spacing w:after="0"/>
            </w:pPr>
            <w:r>
              <w:t>Indicative £332,620</w:t>
            </w:r>
          </w:p>
        </w:tc>
      </w:tr>
    </w:tbl>
    <w:p w14:paraId="07D3EC1B" w14:textId="77777777" w:rsidR="00305781" w:rsidRDefault="0048767E">
      <w:pPr>
        <w:pStyle w:val="Heading1"/>
      </w:pPr>
      <w:r>
        <w:t>Part A: Pupil premium strategy plan</w:t>
      </w:r>
    </w:p>
    <w:p w14:paraId="68156EB2" w14:textId="77777777" w:rsidR="00305781" w:rsidRDefault="0048767E">
      <w:pPr>
        <w:pStyle w:val="Heading2"/>
      </w:pPr>
      <w:r>
        <w:t>Statement of intent</w:t>
      </w:r>
    </w:p>
    <w:p w14:paraId="194486EC" w14:textId="77777777" w:rsidR="00305781" w:rsidRDefault="0048767E">
      <w:r>
        <w:t>Templars’ mission, “Every Child, Every Day, Every Chance”, underpins our commitment that disadvantage will not determine a pupil’s educational outcomes or limit their participation in school life. Our strategy is rooted in belonging, high expectations and precise identification of need.</w:t>
      </w:r>
    </w:p>
    <w:p w14:paraId="74F8C08E" w14:textId="77777777" w:rsidR="00305781" w:rsidRDefault="0048767E">
      <w:r>
        <w:t>Our ultimate objectives are for disadvantaged pupils to achieve well from their individual starting points; secure the foundations of language, reading, writing and mathematics; attend regularly; participate fully in an ambitious curriculum and wider opportunities; and leave Templars confident and prepared for their next stage of education.</w:t>
      </w:r>
    </w:p>
    <w:p w14:paraId="060009F7" w14:textId="77777777" w:rsidR="00305781" w:rsidRDefault="0048767E">
      <w:r>
        <w:t>We recognise that disadvantage is not a single barrier. At Templars there is significant overlap between disadvantage, SEND, attendance, speech and language needs, emotional regulation and family vulnerability. Our response therefore combines high-quality teaching, targeted academic support and wider strategies that help pupils attend, belong and succeed.</w:t>
      </w:r>
    </w:p>
    <w:p w14:paraId="4A8AFE4E" w14:textId="77777777" w:rsidR="00305781" w:rsidRDefault="0048767E">
      <w:r>
        <w:t>High-quality teaching is our first priority. Targeted support is additional to, not a substitute for, strong classroom practice. Leaders use assessment, attendance, behaviour, participation and pastoral information to identify need early, monitor implementation and evaluate impact. Funding decisions are reviewed during the year and provision is adapted where evidence shows that an approach is not securing the intended outcome.</w:t>
      </w:r>
    </w:p>
    <w:p w14:paraId="514ACB4E" w14:textId="77777777" w:rsidR="00305781" w:rsidRDefault="0048767E">
      <w:pPr>
        <w:pStyle w:val="Heading2"/>
      </w:pPr>
      <w:r>
        <w:t>Challenges</w:t>
      </w:r>
    </w:p>
    <w:tbl>
      <w:tblPr>
        <w:tblStyle w:val="TableGrid"/>
        <w:tblW w:w="0" w:type="auto"/>
        <w:jc w:val="center"/>
        <w:tblLook w:val="04A0" w:firstRow="1" w:lastRow="0" w:firstColumn="1" w:lastColumn="0" w:noHBand="0" w:noVBand="1"/>
      </w:tblPr>
      <w:tblGrid>
        <w:gridCol w:w="3452"/>
        <w:gridCol w:w="3453"/>
        <w:gridCol w:w="3453"/>
      </w:tblGrid>
      <w:tr w:rsidR="00305781" w14:paraId="3D73AF74" w14:textId="77777777">
        <w:trPr>
          <w:jc w:val="center"/>
        </w:trPr>
        <w:tc>
          <w:tcPr>
            <w:tcW w:w="3456" w:type="dxa"/>
            <w:shd w:val="clear" w:color="auto" w:fill="1F4E79"/>
          </w:tcPr>
          <w:p w14:paraId="3D66486D" w14:textId="77777777" w:rsidR="00305781" w:rsidRDefault="0048767E">
            <w:pPr>
              <w:spacing w:after="0"/>
            </w:pPr>
            <w:r>
              <w:rPr>
                <w:b/>
                <w:color w:val="FFFFFF"/>
                <w:sz w:val="16"/>
              </w:rPr>
              <w:t>Challenge</w:t>
            </w:r>
          </w:p>
        </w:tc>
        <w:tc>
          <w:tcPr>
            <w:tcW w:w="3456" w:type="dxa"/>
            <w:shd w:val="clear" w:color="auto" w:fill="1F4E79"/>
          </w:tcPr>
          <w:p w14:paraId="17F55651" w14:textId="77777777" w:rsidR="00305781" w:rsidRDefault="0048767E">
            <w:pPr>
              <w:spacing w:after="0"/>
            </w:pPr>
            <w:r>
              <w:rPr>
                <w:b/>
                <w:color w:val="FFFFFF"/>
                <w:sz w:val="16"/>
              </w:rPr>
              <w:t>Area</w:t>
            </w:r>
          </w:p>
        </w:tc>
        <w:tc>
          <w:tcPr>
            <w:tcW w:w="3456" w:type="dxa"/>
            <w:shd w:val="clear" w:color="auto" w:fill="1F4E79"/>
          </w:tcPr>
          <w:p w14:paraId="39FD174D" w14:textId="77777777" w:rsidR="00305781" w:rsidRDefault="0048767E">
            <w:pPr>
              <w:spacing w:after="0"/>
            </w:pPr>
            <w:r>
              <w:rPr>
                <w:b/>
                <w:color w:val="FFFFFF"/>
                <w:sz w:val="16"/>
              </w:rPr>
              <w:t>Detail of challenge</w:t>
            </w:r>
          </w:p>
        </w:tc>
      </w:tr>
      <w:tr w:rsidR="00305781" w14:paraId="50CC4FDE" w14:textId="77777777">
        <w:trPr>
          <w:jc w:val="center"/>
        </w:trPr>
        <w:tc>
          <w:tcPr>
            <w:tcW w:w="3456" w:type="dxa"/>
          </w:tcPr>
          <w:p w14:paraId="1A1EBDC0" w14:textId="77777777" w:rsidR="00305781" w:rsidRDefault="0048767E">
            <w:pPr>
              <w:spacing w:after="0"/>
            </w:pPr>
            <w:r>
              <w:rPr>
                <w:sz w:val="16"/>
              </w:rPr>
              <w:t>1</w:t>
            </w:r>
          </w:p>
        </w:tc>
        <w:tc>
          <w:tcPr>
            <w:tcW w:w="3456" w:type="dxa"/>
          </w:tcPr>
          <w:p w14:paraId="2862229A" w14:textId="77777777" w:rsidR="00305781" w:rsidRDefault="0048767E">
            <w:pPr>
              <w:spacing w:after="0"/>
            </w:pPr>
            <w:r>
              <w:rPr>
                <w:sz w:val="16"/>
              </w:rPr>
              <w:t>Attainment and progress</w:t>
            </w:r>
          </w:p>
        </w:tc>
        <w:tc>
          <w:tcPr>
            <w:tcW w:w="3456" w:type="dxa"/>
          </w:tcPr>
          <w:p w14:paraId="57D63C18" w14:textId="77777777" w:rsidR="00305781" w:rsidRDefault="0048767E">
            <w:pPr>
              <w:spacing w:after="0"/>
            </w:pPr>
            <w:r>
              <w:rPr>
                <w:sz w:val="16"/>
              </w:rPr>
              <w:t xml:space="preserve">Disadvantaged pupils do not yet consistently achieve as well as their peers. 2025–26 </w:t>
            </w:r>
            <w:r>
              <w:rPr>
                <w:sz w:val="16"/>
              </w:rPr>
              <w:lastRenderedPageBreak/>
              <w:t>statutory outcomes show a need to strengthen the foundations that lead to later success, particularly early reading/phonics, writing and mathematics.</w:t>
            </w:r>
          </w:p>
        </w:tc>
      </w:tr>
      <w:tr w:rsidR="00305781" w14:paraId="40C140AF" w14:textId="77777777">
        <w:trPr>
          <w:jc w:val="center"/>
        </w:trPr>
        <w:tc>
          <w:tcPr>
            <w:tcW w:w="3456" w:type="dxa"/>
            <w:shd w:val="clear" w:color="auto" w:fill="F4F7FA"/>
          </w:tcPr>
          <w:p w14:paraId="4920C7BF" w14:textId="77777777" w:rsidR="00305781" w:rsidRDefault="0048767E">
            <w:pPr>
              <w:spacing w:after="0"/>
            </w:pPr>
            <w:r>
              <w:rPr>
                <w:sz w:val="16"/>
              </w:rPr>
              <w:lastRenderedPageBreak/>
              <w:t>2</w:t>
            </w:r>
          </w:p>
        </w:tc>
        <w:tc>
          <w:tcPr>
            <w:tcW w:w="3456" w:type="dxa"/>
            <w:shd w:val="clear" w:color="auto" w:fill="F4F7FA"/>
          </w:tcPr>
          <w:p w14:paraId="099BCAE6" w14:textId="77777777" w:rsidR="00305781" w:rsidRDefault="0048767E">
            <w:pPr>
              <w:spacing w:after="0"/>
            </w:pPr>
            <w:r>
              <w:rPr>
                <w:sz w:val="16"/>
              </w:rPr>
              <w:t>Language, communication and early literacy</w:t>
            </w:r>
          </w:p>
        </w:tc>
        <w:tc>
          <w:tcPr>
            <w:tcW w:w="3456" w:type="dxa"/>
            <w:shd w:val="clear" w:color="auto" w:fill="F4F7FA"/>
          </w:tcPr>
          <w:p w14:paraId="38C38B3C" w14:textId="77777777" w:rsidR="00305781" w:rsidRDefault="0048767E">
            <w:pPr>
              <w:spacing w:after="0"/>
            </w:pPr>
            <w:r>
              <w:rPr>
                <w:sz w:val="16"/>
              </w:rPr>
              <w:t>A proportion of disadvantaged pupils enter school with lower levels of language, vocabulary and communication. This affects access to phonics, reading comprehension, writing and the wider curriculum.</w:t>
            </w:r>
          </w:p>
        </w:tc>
      </w:tr>
      <w:tr w:rsidR="00305781" w14:paraId="1FD11FA9" w14:textId="77777777">
        <w:trPr>
          <w:jc w:val="center"/>
        </w:trPr>
        <w:tc>
          <w:tcPr>
            <w:tcW w:w="3456" w:type="dxa"/>
          </w:tcPr>
          <w:p w14:paraId="50DB42C7" w14:textId="77777777" w:rsidR="00305781" w:rsidRDefault="0048767E">
            <w:pPr>
              <w:spacing w:after="0"/>
            </w:pPr>
            <w:r>
              <w:rPr>
                <w:sz w:val="16"/>
              </w:rPr>
              <w:t>3</w:t>
            </w:r>
          </w:p>
        </w:tc>
        <w:tc>
          <w:tcPr>
            <w:tcW w:w="3456" w:type="dxa"/>
          </w:tcPr>
          <w:p w14:paraId="069DB7E5" w14:textId="77777777" w:rsidR="00305781" w:rsidRDefault="0048767E">
            <w:pPr>
              <w:spacing w:after="0"/>
            </w:pPr>
            <w:r>
              <w:rPr>
                <w:sz w:val="16"/>
              </w:rPr>
              <w:t>Attendance and persistent absence</w:t>
            </w:r>
          </w:p>
        </w:tc>
        <w:tc>
          <w:tcPr>
            <w:tcW w:w="3456" w:type="dxa"/>
          </w:tcPr>
          <w:p w14:paraId="6BA4795F" w14:textId="77777777" w:rsidR="00305781" w:rsidRDefault="0048767E">
            <w:pPr>
              <w:spacing w:after="0"/>
            </w:pPr>
            <w:r>
              <w:rPr>
                <w:sz w:val="16"/>
              </w:rPr>
              <w:t>Attendance remains a significant barrier. In the previous strategy review, disadvantaged attendance was 90.6% compared with 95.3% for other pupils, with persistent absence at 32.1% compared with 11%.</w:t>
            </w:r>
          </w:p>
        </w:tc>
      </w:tr>
      <w:tr w:rsidR="00305781" w14:paraId="48AC6694" w14:textId="77777777">
        <w:trPr>
          <w:jc w:val="center"/>
        </w:trPr>
        <w:tc>
          <w:tcPr>
            <w:tcW w:w="3456" w:type="dxa"/>
            <w:shd w:val="clear" w:color="auto" w:fill="F4F7FA"/>
          </w:tcPr>
          <w:p w14:paraId="34B84A79" w14:textId="77777777" w:rsidR="00305781" w:rsidRDefault="0048767E">
            <w:pPr>
              <w:spacing w:after="0"/>
            </w:pPr>
            <w:r>
              <w:rPr>
                <w:sz w:val="16"/>
              </w:rPr>
              <w:t>4</w:t>
            </w:r>
          </w:p>
        </w:tc>
        <w:tc>
          <w:tcPr>
            <w:tcW w:w="3456" w:type="dxa"/>
            <w:shd w:val="clear" w:color="auto" w:fill="F4F7FA"/>
          </w:tcPr>
          <w:p w14:paraId="1D0DC0A7" w14:textId="77777777" w:rsidR="00305781" w:rsidRDefault="0048767E">
            <w:pPr>
              <w:spacing w:after="0"/>
            </w:pPr>
            <w:r>
              <w:rPr>
                <w:sz w:val="16"/>
              </w:rPr>
              <w:t>SEND and complexity of need</w:t>
            </w:r>
          </w:p>
        </w:tc>
        <w:tc>
          <w:tcPr>
            <w:tcW w:w="3456" w:type="dxa"/>
            <w:shd w:val="clear" w:color="auto" w:fill="F4F7FA"/>
          </w:tcPr>
          <w:p w14:paraId="33A47F17" w14:textId="77777777" w:rsidR="00305781" w:rsidRDefault="0048767E">
            <w:pPr>
              <w:spacing w:after="0"/>
            </w:pPr>
            <w:r>
              <w:rPr>
                <w:sz w:val="16"/>
              </w:rPr>
              <w:t>There is significant overlap between disadvantage and SEND. Some pupils experience multiple and interacting barriers and require precise adaptive teaching, specialist advice and carefully targeted intervention.</w:t>
            </w:r>
          </w:p>
        </w:tc>
      </w:tr>
      <w:tr w:rsidR="00305781" w14:paraId="0AD77516" w14:textId="77777777">
        <w:trPr>
          <w:jc w:val="center"/>
        </w:trPr>
        <w:tc>
          <w:tcPr>
            <w:tcW w:w="3456" w:type="dxa"/>
          </w:tcPr>
          <w:p w14:paraId="18E811B6" w14:textId="77777777" w:rsidR="00305781" w:rsidRDefault="0048767E">
            <w:pPr>
              <w:spacing w:after="0"/>
            </w:pPr>
            <w:r>
              <w:rPr>
                <w:sz w:val="16"/>
              </w:rPr>
              <w:t>5</w:t>
            </w:r>
          </w:p>
        </w:tc>
        <w:tc>
          <w:tcPr>
            <w:tcW w:w="3456" w:type="dxa"/>
          </w:tcPr>
          <w:p w14:paraId="19FC33B5" w14:textId="77777777" w:rsidR="00305781" w:rsidRDefault="0048767E">
            <w:pPr>
              <w:spacing w:after="0"/>
            </w:pPr>
            <w:r>
              <w:rPr>
                <w:sz w:val="16"/>
              </w:rPr>
              <w:t>Regulation, behaviour and readiness to learn</w:t>
            </w:r>
          </w:p>
        </w:tc>
        <w:tc>
          <w:tcPr>
            <w:tcW w:w="3456" w:type="dxa"/>
          </w:tcPr>
          <w:p w14:paraId="7B587041" w14:textId="77777777" w:rsidR="00305781" w:rsidRDefault="0048767E">
            <w:pPr>
              <w:spacing w:after="0"/>
            </w:pPr>
            <w:r>
              <w:rPr>
                <w:sz w:val="16"/>
              </w:rPr>
              <w:t>A smaller cohort of disadvantaged pupils require additional relational, pastoral and regulation support to engage consistently in learning and reduce repeated incidents or disruption to education.</w:t>
            </w:r>
          </w:p>
        </w:tc>
      </w:tr>
      <w:tr w:rsidR="00305781" w14:paraId="64F5A81E" w14:textId="77777777">
        <w:trPr>
          <w:jc w:val="center"/>
        </w:trPr>
        <w:tc>
          <w:tcPr>
            <w:tcW w:w="3456" w:type="dxa"/>
            <w:shd w:val="clear" w:color="auto" w:fill="F4F7FA"/>
          </w:tcPr>
          <w:p w14:paraId="06B3900F" w14:textId="77777777" w:rsidR="00305781" w:rsidRDefault="0048767E">
            <w:pPr>
              <w:spacing w:after="0"/>
            </w:pPr>
            <w:r>
              <w:rPr>
                <w:sz w:val="16"/>
              </w:rPr>
              <w:t>6</w:t>
            </w:r>
          </w:p>
        </w:tc>
        <w:tc>
          <w:tcPr>
            <w:tcW w:w="3456" w:type="dxa"/>
            <w:shd w:val="clear" w:color="auto" w:fill="F4F7FA"/>
          </w:tcPr>
          <w:p w14:paraId="31AA325E" w14:textId="77777777" w:rsidR="00305781" w:rsidRDefault="0048767E">
            <w:pPr>
              <w:spacing w:after="0"/>
            </w:pPr>
            <w:r>
              <w:rPr>
                <w:sz w:val="16"/>
              </w:rPr>
              <w:t>Equity of opportunity and belonging</w:t>
            </w:r>
          </w:p>
        </w:tc>
        <w:tc>
          <w:tcPr>
            <w:tcW w:w="3456" w:type="dxa"/>
            <w:shd w:val="clear" w:color="auto" w:fill="F4F7FA"/>
          </w:tcPr>
          <w:p w14:paraId="695B0C59" w14:textId="77777777" w:rsidR="00305781" w:rsidRDefault="0048767E">
            <w:pPr>
              <w:spacing w:after="0"/>
            </w:pPr>
            <w:r>
              <w:rPr>
                <w:sz w:val="16"/>
              </w:rPr>
              <w:t>Financial and social barriers can reduce access to trips, clubs, enrichment, equipment and wider experiences. These opportunities contribute to cultural capital, vocabulary, confidence, relationships and belonging.</w:t>
            </w:r>
          </w:p>
        </w:tc>
      </w:tr>
    </w:tbl>
    <w:p w14:paraId="3F3F756B" w14:textId="77777777" w:rsidR="00305781" w:rsidRDefault="0048767E">
      <w:pPr>
        <w:pStyle w:val="Heading2"/>
      </w:pPr>
      <w:r>
        <w:t>Intended outcomes</w:t>
      </w:r>
    </w:p>
    <w:tbl>
      <w:tblPr>
        <w:tblStyle w:val="TableGrid"/>
        <w:tblW w:w="0" w:type="auto"/>
        <w:jc w:val="center"/>
        <w:tblLook w:val="04A0" w:firstRow="1" w:lastRow="0" w:firstColumn="1" w:lastColumn="0" w:noHBand="0" w:noVBand="1"/>
      </w:tblPr>
      <w:tblGrid>
        <w:gridCol w:w="5179"/>
        <w:gridCol w:w="5179"/>
      </w:tblGrid>
      <w:tr w:rsidR="00305781" w14:paraId="3C0B3F42" w14:textId="77777777">
        <w:trPr>
          <w:jc w:val="center"/>
        </w:trPr>
        <w:tc>
          <w:tcPr>
            <w:tcW w:w="5184" w:type="dxa"/>
            <w:shd w:val="clear" w:color="auto" w:fill="1F4E79"/>
          </w:tcPr>
          <w:p w14:paraId="008860A4" w14:textId="77777777" w:rsidR="00305781" w:rsidRDefault="0048767E">
            <w:pPr>
              <w:spacing w:after="0"/>
            </w:pPr>
            <w:r>
              <w:rPr>
                <w:b/>
                <w:color w:val="FFFFFF"/>
                <w:sz w:val="16"/>
              </w:rPr>
              <w:t>Intended outcome</w:t>
            </w:r>
          </w:p>
        </w:tc>
        <w:tc>
          <w:tcPr>
            <w:tcW w:w="5184" w:type="dxa"/>
            <w:shd w:val="clear" w:color="auto" w:fill="1F4E79"/>
          </w:tcPr>
          <w:p w14:paraId="0AF03418" w14:textId="77777777" w:rsidR="00305781" w:rsidRDefault="0048767E">
            <w:pPr>
              <w:spacing w:after="0"/>
            </w:pPr>
            <w:r>
              <w:rPr>
                <w:b/>
                <w:color w:val="FFFFFF"/>
                <w:sz w:val="16"/>
              </w:rPr>
              <w:t>Success criteria</w:t>
            </w:r>
          </w:p>
        </w:tc>
      </w:tr>
      <w:tr w:rsidR="00305781" w14:paraId="0767237D" w14:textId="77777777">
        <w:trPr>
          <w:jc w:val="center"/>
        </w:trPr>
        <w:tc>
          <w:tcPr>
            <w:tcW w:w="5184" w:type="dxa"/>
          </w:tcPr>
          <w:p w14:paraId="16869159" w14:textId="77777777" w:rsidR="00305781" w:rsidRDefault="0048767E">
            <w:pPr>
              <w:spacing w:after="0"/>
            </w:pPr>
            <w:r>
              <w:rPr>
                <w:sz w:val="16"/>
              </w:rPr>
              <w:t>Disadvantaged pupils achieve increasingly well across the curriculum.</w:t>
            </w:r>
          </w:p>
        </w:tc>
        <w:tc>
          <w:tcPr>
            <w:tcW w:w="5184" w:type="dxa"/>
          </w:tcPr>
          <w:p w14:paraId="4382AE57" w14:textId="77777777" w:rsidR="00305781" w:rsidRDefault="0048767E">
            <w:pPr>
              <w:spacing w:after="0"/>
            </w:pPr>
            <w:r>
              <w:rPr>
                <w:sz w:val="16"/>
              </w:rPr>
              <w:t>The gap in attainment between disadvantaged pupils and others narrows over the strategy period. Internal and statutory assessment shows stronger progress in reading, writing and mathematics, with particular improvement for pupils currently below age-related expectations.</w:t>
            </w:r>
          </w:p>
        </w:tc>
      </w:tr>
      <w:tr w:rsidR="00305781" w14:paraId="11F9C600" w14:textId="77777777">
        <w:trPr>
          <w:jc w:val="center"/>
        </w:trPr>
        <w:tc>
          <w:tcPr>
            <w:tcW w:w="5184" w:type="dxa"/>
            <w:shd w:val="clear" w:color="auto" w:fill="F4F7FA"/>
          </w:tcPr>
          <w:p w14:paraId="1AC92AC2" w14:textId="77777777" w:rsidR="00305781" w:rsidRDefault="0048767E">
            <w:pPr>
              <w:spacing w:after="0"/>
            </w:pPr>
            <w:r>
              <w:rPr>
                <w:sz w:val="16"/>
              </w:rPr>
              <w:t>Early language and reading outcomes improve.</w:t>
            </w:r>
          </w:p>
        </w:tc>
        <w:tc>
          <w:tcPr>
            <w:tcW w:w="5184" w:type="dxa"/>
            <w:shd w:val="clear" w:color="auto" w:fill="F4F7FA"/>
          </w:tcPr>
          <w:p w14:paraId="327A1EBB" w14:textId="77777777" w:rsidR="00305781" w:rsidRDefault="0048767E">
            <w:pPr>
              <w:spacing w:after="0"/>
            </w:pPr>
            <w:r>
              <w:rPr>
                <w:sz w:val="16"/>
              </w:rPr>
              <w:t>WellComm/RWI and teacher assessment show improved language and vocabulary. Year 1 phonics outcomes improve from the 2026 whole-cohort baseline of 64%; disadvantaged pupils who fall behind receive rapid keep-up support and the gap with peers narrows.</w:t>
            </w:r>
          </w:p>
        </w:tc>
      </w:tr>
      <w:tr w:rsidR="00305781" w14:paraId="26A7B914" w14:textId="77777777">
        <w:trPr>
          <w:jc w:val="center"/>
        </w:trPr>
        <w:tc>
          <w:tcPr>
            <w:tcW w:w="5184" w:type="dxa"/>
          </w:tcPr>
          <w:p w14:paraId="362DAE37" w14:textId="77777777" w:rsidR="00305781" w:rsidRDefault="0048767E">
            <w:pPr>
              <w:spacing w:after="0"/>
            </w:pPr>
            <w:r>
              <w:rPr>
                <w:sz w:val="16"/>
              </w:rPr>
              <w:t>Attendance improves and persistent absence reduces.</w:t>
            </w:r>
          </w:p>
        </w:tc>
        <w:tc>
          <w:tcPr>
            <w:tcW w:w="5184" w:type="dxa"/>
          </w:tcPr>
          <w:p w14:paraId="11814103" w14:textId="77777777" w:rsidR="00305781" w:rsidRDefault="0048767E">
            <w:pPr>
              <w:spacing w:after="0"/>
            </w:pPr>
            <w:r>
              <w:rPr>
                <w:sz w:val="16"/>
              </w:rPr>
              <w:t>Disadvantaged attendance improves year on year; the gap with other pupils reduces; persistent absence reduces substantially from the previous 32.1% baseline; targeted pupils demonstrate measurable improvement following intervention.</w:t>
            </w:r>
          </w:p>
        </w:tc>
      </w:tr>
      <w:tr w:rsidR="00305781" w14:paraId="5704790B" w14:textId="77777777">
        <w:trPr>
          <w:jc w:val="center"/>
        </w:trPr>
        <w:tc>
          <w:tcPr>
            <w:tcW w:w="5184" w:type="dxa"/>
            <w:shd w:val="clear" w:color="auto" w:fill="F4F7FA"/>
          </w:tcPr>
          <w:p w14:paraId="0B73F575" w14:textId="77777777" w:rsidR="00305781" w:rsidRDefault="0048767E">
            <w:pPr>
              <w:spacing w:after="0"/>
            </w:pPr>
            <w:r>
              <w:rPr>
                <w:sz w:val="16"/>
              </w:rPr>
              <w:t>Disadvantaged pupils with SEND access ambitious learning and make strong progress from their starting points.</w:t>
            </w:r>
          </w:p>
        </w:tc>
        <w:tc>
          <w:tcPr>
            <w:tcW w:w="5184" w:type="dxa"/>
            <w:shd w:val="clear" w:color="auto" w:fill="F4F7FA"/>
          </w:tcPr>
          <w:p w14:paraId="7A9C3E07" w14:textId="77777777" w:rsidR="00305781" w:rsidRDefault="0048767E">
            <w:pPr>
              <w:spacing w:after="0"/>
            </w:pPr>
            <w:r>
              <w:rPr>
                <w:sz w:val="16"/>
              </w:rPr>
              <w:t>Adaptive teaching and reasonable adjustments are consistently evident; interventions are matched to diagnosed need and reviewed for impact; pupils with SEND/disadvantage show improved curriculum access, independence and progress.</w:t>
            </w:r>
          </w:p>
        </w:tc>
      </w:tr>
      <w:tr w:rsidR="00305781" w14:paraId="1816DBC9" w14:textId="77777777">
        <w:trPr>
          <w:jc w:val="center"/>
        </w:trPr>
        <w:tc>
          <w:tcPr>
            <w:tcW w:w="5184" w:type="dxa"/>
          </w:tcPr>
          <w:p w14:paraId="61A4876A" w14:textId="77777777" w:rsidR="00305781" w:rsidRDefault="0048767E">
            <w:pPr>
              <w:spacing w:after="0"/>
            </w:pPr>
            <w:r>
              <w:rPr>
                <w:sz w:val="16"/>
              </w:rPr>
              <w:t>Regulation, behaviour and engagement improve for identified pupils.</w:t>
            </w:r>
          </w:p>
        </w:tc>
        <w:tc>
          <w:tcPr>
            <w:tcW w:w="5184" w:type="dxa"/>
          </w:tcPr>
          <w:p w14:paraId="7FEBE756" w14:textId="77777777" w:rsidR="00305781" w:rsidRDefault="0048767E">
            <w:pPr>
              <w:spacing w:after="0"/>
            </w:pPr>
            <w:r>
              <w:rPr>
                <w:sz w:val="16"/>
              </w:rPr>
              <w:t>Repeat incidents reduce for targeted pupils; reintegration and regulation support enable pupils to return to learning successfully; pupil voice shows pupils feel safe, supported and able to succeed.</w:t>
            </w:r>
          </w:p>
        </w:tc>
      </w:tr>
      <w:tr w:rsidR="00305781" w14:paraId="593481CF" w14:textId="77777777">
        <w:trPr>
          <w:jc w:val="center"/>
        </w:trPr>
        <w:tc>
          <w:tcPr>
            <w:tcW w:w="5184" w:type="dxa"/>
            <w:shd w:val="clear" w:color="auto" w:fill="F4F7FA"/>
          </w:tcPr>
          <w:p w14:paraId="3FFA6624" w14:textId="77777777" w:rsidR="00305781" w:rsidRDefault="0048767E">
            <w:pPr>
              <w:spacing w:after="0"/>
            </w:pPr>
            <w:r>
              <w:rPr>
                <w:sz w:val="16"/>
              </w:rPr>
              <w:t>Disadvantaged pupils participate fully in school life.</w:t>
            </w:r>
          </w:p>
        </w:tc>
        <w:tc>
          <w:tcPr>
            <w:tcW w:w="5184" w:type="dxa"/>
            <w:shd w:val="clear" w:color="auto" w:fill="F4F7FA"/>
          </w:tcPr>
          <w:p w14:paraId="042D4ECB" w14:textId="77777777" w:rsidR="00305781" w:rsidRDefault="0048767E">
            <w:pPr>
              <w:spacing w:after="0"/>
            </w:pPr>
            <w:r>
              <w:rPr>
                <w:sz w:val="16"/>
              </w:rPr>
              <w:t>Participation in trips, clubs, enrichment and wider opportunities is monitored; financial barriers do not prevent participation; pupil voice indicates a strong sense of belonging, confidence and aspiration.</w:t>
            </w:r>
          </w:p>
        </w:tc>
      </w:tr>
    </w:tbl>
    <w:p w14:paraId="4E64C7A7" w14:textId="77777777" w:rsidR="00305781" w:rsidRDefault="0048767E">
      <w:pPr>
        <w:pStyle w:val="Heading1"/>
      </w:pPr>
      <w:r>
        <w:t>Activity in the 2026–27 academic year</w:t>
      </w:r>
    </w:p>
    <w:p w14:paraId="0B4C2943" w14:textId="77777777" w:rsidR="00305781" w:rsidRDefault="0048767E">
      <w:r>
        <w:t>All funded activity below is mapped to the Department for Education’s 2026–27 menu of approaches. Costs are deliberately left as placeholders until the school’s confirmed allocation and staffing commitments are finalised.</w:t>
      </w:r>
    </w:p>
    <w:p w14:paraId="03D7AFC8" w14:textId="77777777" w:rsidR="00305781" w:rsidRDefault="0048767E">
      <w:pPr>
        <w:pStyle w:val="Heading2"/>
      </w:pPr>
      <w:r>
        <w:t>Teaching (high-quality teaching)</w:t>
      </w:r>
    </w:p>
    <w:p w14:paraId="047F473A" w14:textId="41700733" w:rsidR="00305781" w:rsidRDefault="0048767E">
      <w:r w:rsidRPr="009E2122">
        <w:rPr>
          <w:b/>
        </w:rPr>
        <w:t>Budgeted cost: £</w:t>
      </w:r>
      <w:r w:rsidR="00EA0DB9" w:rsidRPr="009E2122">
        <w:rPr>
          <w:b/>
        </w:rPr>
        <w:t>2433</w:t>
      </w:r>
      <w:r w:rsidR="00EA0DB9">
        <w:rPr>
          <w:b/>
        </w:rPr>
        <w:t>,350</w:t>
      </w:r>
    </w:p>
    <w:tbl>
      <w:tblPr>
        <w:tblStyle w:val="TableGrid"/>
        <w:tblW w:w="0" w:type="auto"/>
        <w:jc w:val="center"/>
        <w:tblLook w:val="04A0" w:firstRow="1" w:lastRow="0" w:firstColumn="1" w:lastColumn="0" w:noHBand="0" w:noVBand="1"/>
      </w:tblPr>
      <w:tblGrid>
        <w:gridCol w:w="2590"/>
        <w:gridCol w:w="2589"/>
        <w:gridCol w:w="2590"/>
        <w:gridCol w:w="2589"/>
      </w:tblGrid>
      <w:tr w:rsidR="00305781" w14:paraId="0FC69961" w14:textId="77777777">
        <w:trPr>
          <w:jc w:val="center"/>
        </w:trPr>
        <w:tc>
          <w:tcPr>
            <w:tcW w:w="2592" w:type="dxa"/>
            <w:shd w:val="clear" w:color="auto" w:fill="1F4E79"/>
          </w:tcPr>
          <w:p w14:paraId="21DC3F0F" w14:textId="77777777" w:rsidR="00305781" w:rsidRDefault="0048767E">
            <w:pPr>
              <w:spacing w:after="0"/>
            </w:pPr>
            <w:r>
              <w:rPr>
                <w:b/>
                <w:color w:val="FFFFFF"/>
                <w:sz w:val="15"/>
              </w:rPr>
              <w:t>Activity</w:t>
            </w:r>
          </w:p>
        </w:tc>
        <w:tc>
          <w:tcPr>
            <w:tcW w:w="2592" w:type="dxa"/>
            <w:shd w:val="clear" w:color="auto" w:fill="1F4E79"/>
          </w:tcPr>
          <w:p w14:paraId="196BE4C3" w14:textId="77777777" w:rsidR="00305781" w:rsidRDefault="0048767E">
            <w:pPr>
              <w:spacing w:after="0"/>
            </w:pPr>
            <w:r>
              <w:rPr>
                <w:b/>
                <w:color w:val="FFFFFF"/>
                <w:sz w:val="15"/>
              </w:rPr>
              <w:t>DfE menu alignment</w:t>
            </w:r>
          </w:p>
        </w:tc>
        <w:tc>
          <w:tcPr>
            <w:tcW w:w="2592" w:type="dxa"/>
            <w:shd w:val="clear" w:color="auto" w:fill="1F4E79"/>
          </w:tcPr>
          <w:p w14:paraId="5B33DD29" w14:textId="77777777" w:rsidR="00305781" w:rsidRDefault="0048767E">
            <w:pPr>
              <w:spacing w:after="0"/>
            </w:pPr>
            <w:r>
              <w:rPr>
                <w:b/>
                <w:color w:val="FFFFFF"/>
                <w:sz w:val="15"/>
              </w:rPr>
              <w:t>Implementation, evidence and monitoring</w:t>
            </w:r>
          </w:p>
        </w:tc>
        <w:tc>
          <w:tcPr>
            <w:tcW w:w="2592" w:type="dxa"/>
            <w:shd w:val="clear" w:color="auto" w:fill="1F4E79"/>
          </w:tcPr>
          <w:p w14:paraId="6FB8634E" w14:textId="77777777" w:rsidR="00305781" w:rsidRDefault="0048767E">
            <w:pPr>
              <w:spacing w:after="0"/>
            </w:pPr>
            <w:r>
              <w:rPr>
                <w:b/>
                <w:color w:val="FFFFFF"/>
                <w:sz w:val="15"/>
              </w:rPr>
              <w:t>Challenges</w:t>
            </w:r>
          </w:p>
        </w:tc>
      </w:tr>
      <w:tr w:rsidR="00305781" w14:paraId="5EDCB12E" w14:textId="77777777">
        <w:trPr>
          <w:jc w:val="center"/>
        </w:trPr>
        <w:tc>
          <w:tcPr>
            <w:tcW w:w="2592" w:type="dxa"/>
          </w:tcPr>
          <w:p w14:paraId="50F6E365" w14:textId="77777777" w:rsidR="00305781" w:rsidRDefault="0048767E">
            <w:pPr>
              <w:spacing w:after="0"/>
            </w:pPr>
            <w:r>
              <w:rPr>
                <w:sz w:val="15"/>
              </w:rPr>
              <w:lastRenderedPageBreak/>
              <w:t>High-quality teaching, assessment and responsive curriculum implementation</w:t>
            </w:r>
          </w:p>
        </w:tc>
        <w:tc>
          <w:tcPr>
            <w:tcW w:w="2592" w:type="dxa"/>
          </w:tcPr>
          <w:p w14:paraId="2A7E8CA2" w14:textId="77777777" w:rsidR="00305781" w:rsidRDefault="0048767E">
            <w:pPr>
              <w:spacing w:after="0"/>
            </w:pPr>
            <w:r>
              <w:rPr>
                <w:sz w:val="15"/>
              </w:rPr>
              <w:t>Menu: high-quality teaching, assessment and a broad, balanced, knowledge-based curriculum that responds to pupils’ needs.</w:t>
            </w:r>
          </w:p>
        </w:tc>
        <w:tc>
          <w:tcPr>
            <w:tcW w:w="2592" w:type="dxa"/>
          </w:tcPr>
          <w:p w14:paraId="53E5EEC1" w14:textId="77777777" w:rsidR="00305781" w:rsidRDefault="0048767E">
            <w:pPr>
              <w:spacing w:after="0"/>
            </w:pPr>
            <w:r>
              <w:rPr>
                <w:sz w:val="15"/>
              </w:rPr>
              <w:t>Sustain the Templars teaching framework, assessment-informed planning and adaptive teaching. Quality assurance will focus explicitly on disadvantaged pupils, including those with SEND. Monitoring: termly attainment/progress, learning walks, work scrutiny and pupil voice.</w:t>
            </w:r>
          </w:p>
        </w:tc>
        <w:tc>
          <w:tcPr>
            <w:tcW w:w="2592" w:type="dxa"/>
          </w:tcPr>
          <w:p w14:paraId="37053C07" w14:textId="77777777" w:rsidR="00305781" w:rsidRDefault="0048767E">
            <w:pPr>
              <w:spacing w:after="0"/>
            </w:pPr>
            <w:r>
              <w:rPr>
                <w:sz w:val="15"/>
              </w:rPr>
              <w:t>1, 4</w:t>
            </w:r>
          </w:p>
        </w:tc>
      </w:tr>
      <w:tr w:rsidR="00305781" w14:paraId="5CE4E33A" w14:textId="77777777">
        <w:trPr>
          <w:jc w:val="center"/>
        </w:trPr>
        <w:tc>
          <w:tcPr>
            <w:tcW w:w="2592" w:type="dxa"/>
            <w:shd w:val="clear" w:color="auto" w:fill="F4F7FA"/>
          </w:tcPr>
          <w:p w14:paraId="53862D57" w14:textId="77777777" w:rsidR="00305781" w:rsidRDefault="0048767E">
            <w:pPr>
              <w:spacing w:after="0"/>
            </w:pPr>
            <w:r>
              <w:rPr>
                <w:sz w:val="15"/>
              </w:rPr>
              <w:t>Read Write Inc. training, coaching and fidelity</w:t>
            </w:r>
          </w:p>
        </w:tc>
        <w:tc>
          <w:tcPr>
            <w:tcW w:w="2592" w:type="dxa"/>
            <w:shd w:val="clear" w:color="auto" w:fill="F4F7FA"/>
          </w:tcPr>
          <w:p w14:paraId="5D865791" w14:textId="77777777" w:rsidR="00305781" w:rsidRDefault="0048767E">
            <w:pPr>
              <w:spacing w:after="0"/>
            </w:pPr>
            <w:r>
              <w:rPr>
                <w:sz w:val="15"/>
              </w:rPr>
              <w:t>Menu: professional development, including training in a DfE-validated systematic synthetic phonics programme; mentoring and coaching.</w:t>
            </w:r>
          </w:p>
        </w:tc>
        <w:tc>
          <w:tcPr>
            <w:tcW w:w="2592" w:type="dxa"/>
            <w:shd w:val="clear" w:color="auto" w:fill="F4F7FA"/>
          </w:tcPr>
          <w:p w14:paraId="05DA4446" w14:textId="77777777" w:rsidR="00305781" w:rsidRDefault="0048767E">
            <w:pPr>
              <w:spacing w:after="0"/>
            </w:pPr>
            <w:r>
              <w:rPr>
                <w:sz w:val="15"/>
              </w:rPr>
              <w:t>Continue RWI training, assessment/regrouping, coaching and practice development. Prioritise pupils at risk of falling behind and evaluate impact through half-termly RWI data and Year 1/2 phonics outcomes.</w:t>
            </w:r>
          </w:p>
        </w:tc>
        <w:tc>
          <w:tcPr>
            <w:tcW w:w="2592" w:type="dxa"/>
            <w:shd w:val="clear" w:color="auto" w:fill="F4F7FA"/>
          </w:tcPr>
          <w:p w14:paraId="2179E8CE" w14:textId="77777777" w:rsidR="00305781" w:rsidRDefault="0048767E">
            <w:pPr>
              <w:spacing w:after="0"/>
            </w:pPr>
            <w:r>
              <w:rPr>
                <w:sz w:val="15"/>
              </w:rPr>
              <w:t>1, 2, 4</w:t>
            </w:r>
          </w:p>
        </w:tc>
      </w:tr>
      <w:tr w:rsidR="00305781" w14:paraId="4778CACE" w14:textId="77777777">
        <w:trPr>
          <w:jc w:val="center"/>
        </w:trPr>
        <w:tc>
          <w:tcPr>
            <w:tcW w:w="2592" w:type="dxa"/>
          </w:tcPr>
          <w:p w14:paraId="53EE1158" w14:textId="77777777" w:rsidR="00305781" w:rsidRDefault="0048767E">
            <w:pPr>
              <w:spacing w:after="0"/>
            </w:pPr>
            <w:r>
              <w:rPr>
                <w:sz w:val="15"/>
              </w:rPr>
              <w:t>Research-informed CPD and instructional coaching</w:t>
            </w:r>
          </w:p>
        </w:tc>
        <w:tc>
          <w:tcPr>
            <w:tcW w:w="2592" w:type="dxa"/>
          </w:tcPr>
          <w:p w14:paraId="6F1C3EAC" w14:textId="77777777" w:rsidR="00305781" w:rsidRDefault="0048767E">
            <w:pPr>
              <w:spacing w:after="0"/>
            </w:pPr>
            <w:r>
              <w:rPr>
                <w:sz w:val="15"/>
              </w:rPr>
              <w:t>Menu: professional development; mentoring and coaching for teachers.</w:t>
            </w:r>
          </w:p>
        </w:tc>
        <w:tc>
          <w:tcPr>
            <w:tcW w:w="2592" w:type="dxa"/>
          </w:tcPr>
          <w:p w14:paraId="299D474B" w14:textId="77777777" w:rsidR="00305781" w:rsidRDefault="0048767E">
            <w:pPr>
              <w:spacing w:after="0"/>
            </w:pPr>
            <w:r>
              <w:rPr>
                <w:sz w:val="15"/>
              </w:rPr>
              <w:t>CPD will focus on consistent explicit instruction, modelling, scaffolding, feedback, adaptive teaching, writing and mathematics. Implementation will be checked through the school QA cycle rather than attendance at training alone.</w:t>
            </w:r>
          </w:p>
        </w:tc>
        <w:tc>
          <w:tcPr>
            <w:tcW w:w="2592" w:type="dxa"/>
          </w:tcPr>
          <w:p w14:paraId="11C4D700" w14:textId="77777777" w:rsidR="00305781" w:rsidRDefault="0048767E">
            <w:pPr>
              <w:spacing w:after="0"/>
            </w:pPr>
            <w:r>
              <w:rPr>
                <w:sz w:val="15"/>
              </w:rPr>
              <w:t>1, 4</w:t>
            </w:r>
          </w:p>
        </w:tc>
      </w:tr>
      <w:tr w:rsidR="00305781" w14:paraId="373BEDDE" w14:textId="77777777">
        <w:trPr>
          <w:jc w:val="center"/>
        </w:trPr>
        <w:tc>
          <w:tcPr>
            <w:tcW w:w="2592" w:type="dxa"/>
            <w:shd w:val="clear" w:color="auto" w:fill="F4F7FA"/>
          </w:tcPr>
          <w:p w14:paraId="00091655" w14:textId="77777777" w:rsidR="00305781" w:rsidRDefault="0048767E">
            <w:pPr>
              <w:spacing w:after="0"/>
            </w:pPr>
            <w:r>
              <w:rPr>
                <w:sz w:val="15"/>
              </w:rPr>
              <w:t>Diagnostic and formative assessment</w:t>
            </w:r>
          </w:p>
        </w:tc>
        <w:tc>
          <w:tcPr>
            <w:tcW w:w="2592" w:type="dxa"/>
            <w:shd w:val="clear" w:color="auto" w:fill="F4F7FA"/>
          </w:tcPr>
          <w:p w14:paraId="77AA7804" w14:textId="77777777" w:rsidR="00305781" w:rsidRDefault="0048767E">
            <w:pPr>
              <w:spacing w:after="0"/>
            </w:pPr>
            <w:r>
              <w:rPr>
                <w:sz w:val="15"/>
              </w:rPr>
              <w:t>Menu: technology to support high-quality teaching; high-quality assessment.</w:t>
            </w:r>
          </w:p>
        </w:tc>
        <w:tc>
          <w:tcPr>
            <w:tcW w:w="2592" w:type="dxa"/>
            <w:shd w:val="clear" w:color="auto" w:fill="F4F7FA"/>
          </w:tcPr>
          <w:p w14:paraId="61CB3A0C" w14:textId="77777777" w:rsidR="00305781" w:rsidRDefault="0048767E">
            <w:pPr>
              <w:spacing w:after="0"/>
            </w:pPr>
            <w:r>
              <w:rPr>
                <w:sz w:val="15"/>
              </w:rPr>
              <w:t>Use standardised/diagnostic assessment and WellComm where appropriate to identify gaps early, plan teaching and evaluate intervention. Assessment information will trigger timely response rather than retrospective catch-up.</w:t>
            </w:r>
          </w:p>
        </w:tc>
        <w:tc>
          <w:tcPr>
            <w:tcW w:w="2592" w:type="dxa"/>
            <w:shd w:val="clear" w:color="auto" w:fill="F4F7FA"/>
          </w:tcPr>
          <w:p w14:paraId="4C7ECAEE" w14:textId="77777777" w:rsidR="00305781" w:rsidRDefault="0048767E">
            <w:pPr>
              <w:spacing w:after="0"/>
            </w:pPr>
            <w:r>
              <w:rPr>
                <w:sz w:val="15"/>
              </w:rPr>
              <w:t>1, 2, 4</w:t>
            </w:r>
          </w:p>
        </w:tc>
      </w:tr>
    </w:tbl>
    <w:p w14:paraId="11213C96" w14:textId="77777777" w:rsidR="00305781" w:rsidRDefault="0048767E">
      <w:pPr>
        <w:pStyle w:val="Heading2"/>
      </w:pPr>
      <w:r>
        <w:t>Targeted academic support</w:t>
      </w:r>
    </w:p>
    <w:p w14:paraId="431DFF4A" w14:textId="5AA6892D" w:rsidR="00305781" w:rsidRDefault="0048767E">
      <w:r w:rsidRPr="009E2122">
        <w:rPr>
          <w:b/>
        </w:rPr>
        <w:t>Budgeted cost: £</w:t>
      </w:r>
      <w:r w:rsidR="00EA0DB9">
        <w:rPr>
          <w:b/>
        </w:rPr>
        <w:t>962,425</w:t>
      </w:r>
    </w:p>
    <w:tbl>
      <w:tblPr>
        <w:tblStyle w:val="TableGrid"/>
        <w:tblW w:w="0" w:type="auto"/>
        <w:jc w:val="center"/>
        <w:tblLook w:val="04A0" w:firstRow="1" w:lastRow="0" w:firstColumn="1" w:lastColumn="0" w:noHBand="0" w:noVBand="1"/>
      </w:tblPr>
      <w:tblGrid>
        <w:gridCol w:w="2589"/>
        <w:gridCol w:w="2589"/>
        <w:gridCol w:w="2591"/>
        <w:gridCol w:w="2589"/>
      </w:tblGrid>
      <w:tr w:rsidR="00305781" w14:paraId="769B0DF4" w14:textId="77777777" w:rsidTr="009E2122">
        <w:trPr>
          <w:jc w:val="center"/>
        </w:trPr>
        <w:tc>
          <w:tcPr>
            <w:tcW w:w="2589" w:type="dxa"/>
            <w:shd w:val="clear" w:color="auto" w:fill="1F4E79"/>
          </w:tcPr>
          <w:p w14:paraId="70D78795" w14:textId="77777777" w:rsidR="00305781" w:rsidRDefault="0048767E">
            <w:pPr>
              <w:spacing w:after="0"/>
            </w:pPr>
            <w:r>
              <w:rPr>
                <w:b/>
                <w:color w:val="FFFFFF"/>
                <w:sz w:val="15"/>
              </w:rPr>
              <w:t>Activity</w:t>
            </w:r>
          </w:p>
        </w:tc>
        <w:tc>
          <w:tcPr>
            <w:tcW w:w="2589" w:type="dxa"/>
            <w:shd w:val="clear" w:color="auto" w:fill="1F4E79"/>
          </w:tcPr>
          <w:p w14:paraId="177946D5" w14:textId="77777777" w:rsidR="00305781" w:rsidRDefault="0048767E">
            <w:pPr>
              <w:spacing w:after="0"/>
            </w:pPr>
            <w:r>
              <w:rPr>
                <w:b/>
                <w:color w:val="FFFFFF"/>
                <w:sz w:val="15"/>
              </w:rPr>
              <w:t>DfE menu alignment</w:t>
            </w:r>
          </w:p>
        </w:tc>
        <w:tc>
          <w:tcPr>
            <w:tcW w:w="2591" w:type="dxa"/>
            <w:shd w:val="clear" w:color="auto" w:fill="1F4E79"/>
          </w:tcPr>
          <w:p w14:paraId="229F1BD8" w14:textId="77777777" w:rsidR="00305781" w:rsidRDefault="0048767E">
            <w:pPr>
              <w:spacing w:after="0"/>
            </w:pPr>
            <w:r>
              <w:rPr>
                <w:b/>
                <w:color w:val="FFFFFF"/>
                <w:sz w:val="15"/>
              </w:rPr>
              <w:t>Implementation, evidence and monitoring</w:t>
            </w:r>
          </w:p>
        </w:tc>
        <w:tc>
          <w:tcPr>
            <w:tcW w:w="2589" w:type="dxa"/>
            <w:shd w:val="clear" w:color="auto" w:fill="1F4E79"/>
          </w:tcPr>
          <w:p w14:paraId="4CFBE55D" w14:textId="77777777" w:rsidR="00305781" w:rsidRDefault="0048767E">
            <w:pPr>
              <w:spacing w:after="0"/>
            </w:pPr>
            <w:r>
              <w:rPr>
                <w:b/>
                <w:color w:val="FFFFFF"/>
                <w:sz w:val="15"/>
              </w:rPr>
              <w:t>Challenges</w:t>
            </w:r>
          </w:p>
        </w:tc>
      </w:tr>
      <w:tr w:rsidR="00305781" w14:paraId="6AB2E8FD" w14:textId="77777777" w:rsidTr="009E2122">
        <w:trPr>
          <w:jc w:val="center"/>
        </w:trPr>
        <w:tc>
          <w:tcPr>
            <w:tcW w:w="2589" w:type="dxa"/>
          </w:tcPr>
          <w:p w14:paraId="35733C6F" w14:textId="77777777" w:rsidR="00305781" w:rsidRDefault="0048767E">
            <w:pPr>
              <w:spacing w:after="0"/>
            </w:pPr>
            <w:r>
              <w:rPr>
                <w:sz w:val="15"/>
              </w:rPr>
              <w:t>One-to-one and small-group tuition / intervention teaching</w:t>
            </w:r>
          </w:p>
        </w:tc>
        <w:tc>
          <w:tcPr>
            <w:tcW w:w="2589" w:type="dxa"/>
          </w:tcPr>
          <w:p w14:paraId="20E22C4B" w14:textId="77777777" w:rsidR="00305781" w:rsidRDefault="0048767E">
            <w:pPr>
              <w:spacing w:after="0"/>
            </w:pPr>
            <w:r>
              <w:rPr>
                <w:sz w:val="15"/>
              </w:rPr>
              <w:t>Menu: one-to-one and small group tuition.</w:t>
            </w:r>
          </w:p>
        </w:tc>
        <w:tc>
          <w:tcPr>
            <w:tcW w:w="2591" w:type="dxa"/>
          </w:tcPr>
          <w:p w14:paraId="1FC9F50B" w14:textId="77777777" w:rsidR="00305781" w:rsidRDefault="0048767E">
            <w:pPr>
              <w:spacing w:after="0"/>
            </w:pPr>
            <w:r>
              <w:rPr>
                <w:sz w:val="15"/>
              </w:rPr>
              <w:t>Deploy skilled teachers/adults for time-limited support linked directly to classroom learning. Entry/exit data and review points will determine whether provision continues, changes or stops.</w:t>
            </w:r>
          </w:p>
        </w:tc>
        <w:tc>
          <w:tcPr>
            <w:tcW w:w="2589" w:type="dxa"/>
          </w:tcPr>
          <w:p w14:paraId="21CA5887" w14:textId="77777777" w:rsidR="00305781" w:rsidRDefault="0048767E">
            <w:pPr>
              <w:spacing w:after="0"/>
            </w:pPr>
            <w:r>
              <w:rPr>
                <w:sz w:val="15"/>
              </w:rPr>
              <w:t>1, 4</w:t>
            </w:r>
          </w:p>
        </w:tc>
      </w:tr>
      <w:tr w:rsidR="00305781" w14:paraId="2B695DB3" w14:textId="77777777" w:rsidTr="009E2122">
        <w:trPr>
          <w:jc w:val="center"/>
        </w:trPr>
        <w:tc>
          <w:tcPr>
            <w:tcW w:w="2589" w:type="dxa"/>
            <w:shd w:val="clear" w:color="auto" w:fill="F4F7FA"/>
          </w:tcPr>
          <w:p w14:paraId="6CA129B8" w14:textId="77777777" w:rsidR="00305781" w:rsidRDefault="0048767E">
            <w:pPr>
              <w:spacing w:after="0"/>
            </w:pPr>
            <w:r>
              <w:rPr>
                <w:sz w:val="15"/>
              </w:rPr>
              <w:t>Language, speech and communication intervention</w:t>
            </w:r>
          </w:p>
        </w:tc>
        <w:tc>
          <w:tcPr>
            <w:tcW w:w="2589" w:type="dxa"/>
            <w:shd w:val="clear" w:color="auto" w:fill="F4F7FA"/>
          </w:tcPr>
          <w:p w14:paraId="7DCA62B0" w14:textId="77777777" w:rsidR="00305781" w:rsidRDefault="0048767E">
            <w:pPr>
              <w:spacing w:after="0"/>
            </w:pPr>
            <w:r>
              <w:rPr>
                <w:sz w:val="15"/>
              </w:rPr>
              <w:t>Menu: targeted interventions to support language development and literacy.</w:t>
            </w:r>
          </w:p>
        </w:tc>
        <w:tc>
          <w:tcPr>
            <w:tcW w:w="2591" w:type="dxa"/>
            <w:shd w:val="clear" w:color="auto" w:fill="F4F7FA"/>
          </w:tcPr>
          <w:p w14:paraId="5838FB0A" w14:textId="77777777" w:rsidR="00305781" w:rsidRDefault="0048767E">
            <w:pPr>
              <w:spacing w:after="0"/>
            </w:pPr>
            <w:r>
              <w:rPr>
                <w:sz w:val="15"/>
              </w:rPr>
              <w:t>Use WellComm and specialist advice to identify needs; deliver structured language/oracy support and speech and language programmes where appropriate. Measure progress against identified communication targets and curriculum access.</w:t>
            </w:r>
          </w:p>
        </w:tc>
        <w:tc>
          <w:tcPr>
            <w:tcW w:w="2589" w:type="dxa"/>
            <w:shd w:val="clear" w:color="auto" w:fill="F4F7FA"/>
          </w:tcPr>
          <w:p w14:paraId="1D038747" w14:textId="77777777" w:rsidR="00305781" w:rsidRDefault="0048767E">
            <w:pPr>
              <w:spacing w:after="0"/>
            </w:pPr>
            <w:r>
              <w:rPr>
                <w:sz w:val="15"/>
              </w:rPr>
              <w:t>1, 2, 4</w:t>
            </w:r>
          </w:p>
        </w:tc>
      </w:tr>
      <w:tr w:rsidR="00305781" w14:paraId="019EA9BF" w14:textId="77777777" w:rsidTr="009E2122">
        <w:trPr>
          <w:jc w:val="center"/>
        </w:trPr>
        <w:tc>
          <w:tcPr>
            <w:tcW w:w="2589" w:type="dxa"/>
          </w:tcPr>
          <w:p w14:paraId="043C6AA2" w14:textId="77777777" w:rsidR="00305781" w:rsidRDefault="0048767E">
            <w:pPr>
              <w:spacing w:after="0"/>
            </w:pPr>
            <w:r>
              <w:rPr>
                <w:sz w:val="15"/>
              </w:rPr>
              <w:t>Targeted reading, writing and mathematics intervention</w:t>
            </w:r>
          </w:p>
        </w:tc>
        <w:tc>
          <w:tcPr>
            <w:tcW w:w="2589" w:type="dxa"/>
          </w:tcPr>
          <w:p w14:paraId="1CD36AB9" w14:textId="77777777" w:rsidR="00305781" w:rsidRDefault="0048767E">
            <w:pPr>
              <w:spacing w:after="0"/>
            </w:pPr>
            <w:r>
              <w:rPr>
                <w:sz w:val="15"/>
              </w:rPr>
              <w:t>Menu: targeted interventions to support literacy and numeracy.</w:t>
            </w:r>
          </w:p>
        </w:tc>
        <w:tc>
          <w:tcPr>
            <w:tcW w:w="2591" w:type="dxa"/>
          </w:tcPr>
          <w:p w14:paraId="75B1F293" w14:textId="77777777" w:rsidR="00305781" w:rsidRDefault="0048767E">
            <w:pPr>
              <w:spacing w:after="0"/>
            </w:pPr>
            <w:r>
              <w:rPr>
                <w:sz w:val="15"/>
              </w:rPr>
              <w:t>Provide structured interventions based on diagnosed gaps, with particular attention to phonics/fluency, writing transcription/composition and mathematical fluency. Ensure pupils do not routinely miss core curriculum entitlement.</w:t>
            </w:r>
          </w:p>
        </w:tc>
        <w:tc>
          <w:tcPr>
            <w:tcW w:w="2589" w:type="dxa"/>
          </w:tcPr>
          <w:p w14:paraId="46B3FA85" w14:textId="77777777" w:rsidR="00305781" w:rsidRDefault="0048767E">
            <w:pPr>
              <w:spacing w:after="0"/>
            </w:pPr>
            <w:r>
              <w:rPr>
                <w:sz w:val="15"/>
              </w:rPr>
              <w:t>1, 2, 4</w:t>
            </w:r>
          </w:p>
        </w:tc>
      </w:tr>
      <w:tr w:rsidR="00305781" w14:paraId="00C1B1DA" w14:textId="77777777" w:rsidTr="009E2122">
        <w:trPr>
          <w:jc w:val="center"/>
        </w:trPr>
        <w:tc>
          <w:tcPr>
            <w:tcW w:w="2589" w:type="dxa"/>
            <w:shd w:val="clear" w:color="auto" w:fill="F4F7FA"/>
          </w:tcPr>
          <w:p w14:paraId="3EE2A74E" w14:textId="77777777" w:rsidR="00305781" w:rsidRDefault="0048767E">
            <w:pPr>
              <w:spacing w:after="0"/>
            </w:pPr>
            <w:r>
              <w:rPr>
                <w:sz w:val="15"/>
              </w:rPr>
              <w:t>Teaching assistant deployment and structured intervention</w:t>
            </w:r>
          </w:p>
        </w:tc>
        <w:tc>
          <w:tcPr>
            <w:tcW w:w="2589" w:type="dxa"/>
            <w:shd w:val="clear" w:color="auto" w:fill="F4F7FA"/>
          </w:tcPr>
          <w:p w14:paraId="1839278B" w14:textId="77777777" w:rsidR="00305781" w:rsidRDefault="0048767E">
            <w:pPr>
              <w:spacing w:after="0"/>
            </w:pPr>
            <w:r>
              <w:rPr>
                <w:sz w:val="15"/>
              </w:rPr>
              <w:t>Menu: teaching assistant deployment and interventions.</w:t>
            </w:r>
          </w:p>
        </w:tc>
        <w:tc>
          <w:tcPr>
            <w:tcW w:w="2591" w:type="dxa"/>
            <w:shd w:val="clear" w:color="auto" w:fill="F4F7FA"/>
          </w:tcPr>
          <w:p w14:paraId="63AEB405" w14:textId="77777777" w:rsidR="00305781" w:rsidRDefault="0048767E">
            <w:pPr>
              <w:spacing w:after="0"/>
            </w:pPr>
            <w:r>
              <w:rPr>
                <w:sz w:val="15"/>
              </w:rPr>
              <w:t>Deploy TAs to supplement high-quality teaching, provide scaffolding that develops independence and deliver structured interventions for which they are trained. Evaluate through pupil outcomes, not adult-contact time.</w:t>
            </w:r>
          </w:p>
        </w:tc>
        <w:tc>
          <w:tcPr>
            <w:tcW w:w="2589" w:type="dxa"/>
            <w:shd w:val="clear" w:color="auto" w:fill="F4F7FA"/>
          </w:tcPr>
          <w:p w14:paraId="403D0A52" w14:textId="77777777" w:rsidR="00305781" w:rsidRDefault="0048767E">
            <w:pPr>
              <w:spacing w:after="0"/>
            </w:pPr>
            <w:r>
              <w:rPr>
                <w:sz w:val="15"/>
              </w:rPr>
              <w:t>1, 2, 4</w:t>
            </w:r>
          </w:p>
        </w:tc>
      </w:tr>
      <w:tr w:rsidR="00305781" w14:paraId="0812360A" w14:textId="77777777" w:rsidTr="009E2122">
        <w:trPr>
          <w:jc w:val="center"/>
        </w:trPr>
        <w:tc>
          <w:tcPr>
            <w:tcW w:w="2589" w:type="dxa"/>
          </w:tcPr>
          <w:p w14:paraId="21D0A54E" w14:textId="77777777" w:rsidR="00305781" w:rsidRDefault="0048767E">
            <w:pPr>
              <w:spacing w:after="0"/>
            </w:pPr>
            <w:r>
              <w:rPr>
                <w:sz w:val="15"/>
              </w:rPr>
              <w:t>Targeted SEND resources and specialist recommendations</w:t>
            </w:r>
          </w:p>
        </w:tc>
        <w:tc>
          <w:tcPr>
            <w:tcW w:w="2589" w:type="dxa"/>
          </w:tcPr>
          <w:p w14:paraId="5C626226" w14:textId="77777777" w:rsidR="00305781" w:rsidRDefault="0048767E">
            <w:pPr>
              <w:spacing w:after="0"/>
            </w:pPr>
            <w:r>
              <w:rPr>
                <w:sz w:val="15"/>
              </w:rPr>
              <w:t>Menu: targeted interventions and resources to meet the specific needs of disadvantaged pupils with SEND.</w:t>
            </w:r>
          </w:p>
        </w:tc>
        <w:tc>
          <w:tcPr>
            <w:tcW w:w="2591" w:type="dxa"/>
          </w:tcPr>
          <w:p w14:paraId="455C35B7" w14:textId="77777777" w:rsidR="00305781" w:rsidRDefault="0048767E">
            <w:pPr>
              <w:spacing w:after="0"/>
            </w:pPr>
            <w:r>
              <w:rPr>
                <w:sz w:val="15"/>
              </w:rPr>
              <w:t>Implement evidence-informed adaptations and specialist recommendations for pupils experiencing overlapping disadvantage and SEND barriers. Review through SEND assess-plan-do-review cycles and pupil progress information.</w:t>
            </w:r>
          </w:p>
        </w:tc>
        <w:tc>
          <w:tcPr>
            <w:tcW w:w="2589" w:type="dxa"/>
          </w:tcPr>
          <w:p w14:paraId="7D8590D5" w14:textId="77777777" w:rsidR="00305781" w:rsidRDefault="0048767E">
            <w:pPr>
              <w:spacing w:after="0"/>
            </w:pPr>
            <w:r>
              <w:rPr>
                <w:sz w:val="15"/>
              </w:rPr>
              <w:t>1, 2, 4, 5</w:t>
            </w:r>
          </w:p>
        </w:tc>
      </w:tr>
      <w:tr w:rsidR="009E2122" w14:paraId="53B741C5" w14:textId="77777777" w:rsidTr="002705F5">
        <w:trPr>
          <w:jc w:val="center"/>
        </w:trPr>
        <w:tc>
          <w:tcPr>
            <w:tcW w:w="2589" w:type="dxa"/>
            <w:shd w:val="clear" w:color="auto" w:fill="F4F7FA"/>
          </w:tcPr>
          <w:p w14:paraId="738F0BDC" w14:textId="35C8A8AD" w:rsidR="009E2122" w:rsidRPr="009E2122" w:rsidRDefault="009E2122" w:rsidP="009E2122">
            <w:pPr>
              <w:spacing w:after="0"/>
              <w:rPr>
                <w:sz w:val="15"/>
              </w:rPr>
            </w:pPr>
            <w:r w:rsidRPr="009E2122">
              <w:rPr>
                <w:sz w:val="15"/>
              </w:rPr>
              <w:lastRenderedPageBreak/>
              <w:t>Pastoral, regulation and wellbeing support</w:t>
            </w:r>
          </w:p>
        </w:tc>
        <w:tc>
          <w:tcPr>
            <w:tcW w:w="2589" w:type="dxa"/>
            <w:shd w:val="clear" w:color="auto" w:fill="F4F7FA"/>
          </w:tcPr>
          <w:p w14:paraId="51C6F0C1" w14:textId="6DFBBDDD" w:rsidR="009E2122" w:rsidRPr="009E2122" w:rsidRDefault="009E2122" w:rsidP="009E2122">
            <w:pPr>
              <w:spacing w:after="0"/>
              <w:rPr>
                <w:sz w:val="15"/>
              </w:rPr>
            </w:pPr>
            <w:r w:rsidRPr="009E2122">
              <w:rPr>
                <w:sz w:val="15"/>
              </w:rPr>
              <w:t xml:space="preserve">Menu: supporting pupils’ social, emotional and </w:t>
            </w:r>
            <w:proofErr w:type="spellStart"/>
            <w:r w:rsidRPr="009E2122">
              <w:rPr>
                <w:sz w:val="15"/>
              </w:rPr>
              <w:t>behavioural</w:t>
            </w:r>
            <w:proofErr w:type="spellEnd"/>
            <w:r w:rsidRPr="009E2122">
              <w:rPr>
                <w:sz w:val="15"/>
              </w:rPr>
              <w:t xml:space="preserve"> needs.</w:t>
            </w:r>
          </w:p>
        </w:tc>
        <w:tc>
          <w:tcPr>
            <w:tcW w:w="2591" w:type="dxa"/>
            <w:shd w:val="clear" w:color="auto" w:fill="F4F7FA"/>
          </w:tcPr>
          <w:p w14:paraId="580F0370" w14:textId="6DAFB4AE" w:rsidR="009E2122" w:rsidRPr="009E2122" w:rsidRDefault="009E2122" w:rsidP="009E2122">
            <w:pPr>
              <w:spacing w:after="0"/>
              <w:rPr>
                <w:sz w:val="15"/>
              </w:rPr>
            </w:pPr>
            <w:r w:rsidRPr="009E2122">
              <w:rPr>
                <w:sz w:val="15"/>
              </w:rPr>
              <w:t>Provide targeted relational, regulation, counselling/mentoring and reintegration support according to need. Evaluate using engagement, repeat-incident, attendance and pupil outcome information alongside pupil voice.</w:t>
            </w:r>
          </w:p>
        </w:tc>
        <w:tc>
          <w:tcPr>
            <w:tcW w:w="2589" w:type="dxa"/>
            <w:shd w:val="clear" w:color="auto" w:fill="F4F7FA"/>
          </w:tcPr>
          <w:p w14:paraId="5303CC08" w14:textId="08B3588C" w:rsidR="009E2122" w:rsidRPr="009E2122" w:rsidRDefault="009E2122" w:rsidP="009E2122">
            <w:pPr>
              <w:spacing w:after="0"/>
              <w:rPr>
                <w:sz w:val="15"/>
              </w:rPr>
            </w:pPr>
            <w:r w:rsidRPr="009E2122">
              <w:rPr>
                <w:sz w:val="15"/>
              </w:rPr>
              <w:t>3, 5</w:t>
            </w:r>
          </w:p>
        </w:tc>
      </w:tr>
      <w:tr w:rsidR="009E2122" w14:paraId="6DF868B9" w14:textId="77777777" w:rsidTr="009E2122">
        <w:trPr>
          <w:jc w:val="center"/>
        </w:trPr>
        <w:tc>
          <w:tcPr>
            <w:tcW w:w="2589" w:type="dxa"/>
          </w:tcPr>
          <w:p w14:paraId="06163C95" w14:textId="6358A489" w:rsidR="009E2122" w:rsidRPr="009E2122" w:rsidRDefault="009E2122" w:rsidP="009E2122">
            <w:pPr>
              <w:spacing w:after="0"/>
              <w:rPr>
                <w:sz w:val="15"/>
              </w:rPr>
            </w:pPr>
            <w:r w:rsidRPr="009E2122">
              <w:rPr>
                <w:sz w:val="15"/>
              </w:rPr>
              <w:t>Parent communication and family support</w:t>
            </w:r>
          </w:p>
        </w:tc>
        <w:tc>
          <w:tcPr>
            <w:tcW w:w="2589" w:type="dxa"/>
          </w:tcPr>
          <w:p w14:paraId="1E1EE67D" w14:textId="5AAD0604" w:rsidR="009E2122" w:rsidRPr="009E2122" w:rsidRDefault="009E2122" w:rsidP="009E2122">
            <w:pPr>
              <w:spacing w:after="0"/>
              <w:rPr>
                <w:sz w:val="15"/>
              </w:rPr>
            </w:pPr>
            <w:r w:rsidRPr="009E2122">
              <w:rPr>
                <w:sz w:val="15"/>
              </w:rPr>
              <w:t>Menu: communicating with and supporting parents.</w:t>
            </w:r>
          </w:p>
        </w:tc>
        <w:tc>
          <w:tcPr>
            <w:tcW w:w="2591" w:type="dxa"/>
          </w:tcPr>
          <w:p w14:paraId="227D1264" w14:textId="3ACCB706" w:rsidR="009E2122" w:rsidRPr="009E2122" w:rsidRDefault="009E2122" w:rsidP="009E2122">
            <w:pPr>
              <w:spacing w:after="0"/>
              <w:rPr>
                <w:sz w:val="15"/>
              </w:rPr>
            </w:pPr>
            <w:r w:rsidRPr="009E2122">
              <w:rPr>
                <w:sz w:val="15"/>
              </w:rPr>
              <w:t>Strengthen relationships with families around attendance, learning, early reading and access to support. Use timely, accessible communication and targeted family work where barriers are identified.</w:t>
            </w:r>
          </w:p>
        </w:tc>
        <w:tc>
          <w:tcPr>
            <w:tcW w:w="2589" w:type="dxa"/>
          </w:tcPr>
          <w:p w14:paraId="33375D05" w14:textId="5A96266A" w:rsidR="009E2122" w:rsidRPr="009E2122" w:rsidRDefault="009E2122" w:rsidP="009E2122">
            <w:pPr>
              <w:spacing w:after="0"/>
              <w:rPr>
                <w:sz w:val="15"/>
              </w:rPr>
            </w:pPr>
            <w:r w:rsidRPr="009E2122">
              <w:rPr>
                <w:sz w:val="15"/>
              </w:rPr>
              <w:t>2, 3, 5</w:t>
            </w:r>
          </w:p>
        </w:tc>
      </w:tr>
    </w:tbl>
    <w:p w14:paraId="3DAFDE72" w14:textId="77777777" w:rsidR="00305781" w:rsidRDefault="0048767E">
      <w:pPr>
        <w:pStyle w:val="Heading2"/>
      </w:pPr>
      <w:r>
        <w:t>Wider strategies</w:t>
      </w:r>
    </w:p>
    <w:p w14:paraId="1EF599D3" w14:textId="53928117" w:rsidR="00305781" w:rsidRDefault="0048767E">
      <w:r w:rsidRPr="009E2122">
        <w:rPr>
          <w:b/>
        </w:rPr>
        <w:t>Budgeted cost: £</w:t>
      </w:r>
      <w:r w:rsidR="00E1481B" w:rsidRPr="009E2122">
        <w:rPr>
          <w:b/>
        </w:rPr>
        <w:t>29</w:t>
      </w:r>
      <w:r w:rsidR="00E1481B">
        <w:rPr>
          <w:b/>
        </w:rPr>
        <w:t>,625.60</w:t>
      </w:r>
    </w:p>
    <w:tbl>
      <w:tblPr>
        <w:tblStyle w:val="TableGrid"/>
        <w:tblW w:w="0" w:type="auto"/>
        <w:jc w:val="center"/>
        <w:tblLook w:val="04A0" w:firstRow="1" w:lastRow="0" w:firstColumn="1" w:lastColumn="0" w:noHBand="0" w:noVBand="1"/>
      </w:tblPr>
      <w:tblGrid>
        <w:gridCol w:w="2590"/>
        <w:gridCol w:w="2590"/>
        <w:gridCol w:w="2589"/>
        <w:gridCol w:w="2589"/>
      </w:tblGrid>
      <w:tr w:rsidR="00305781" w14:paraId="13DECF7A" w14:textId="77777777" w:rsidTr="009E2122">
        <w:trPr>
          <w:jc w:val="center"/>
        </w:trPr>
        <w:tc>
          <w:tcPr>
            <w:tcW w:w="2590" w:type="dxa"/>
            <w:shd w:val="clear" w:color="auto" w:fill="1F4E79"/>
          </w:tcPr>
          <w:p w14:paraId="4F1B0865" w14:textId="77777777" w:rsidR="00305781" w:rsidRDefault="0048767E">
            <w:pPr>
              <w:spacing w:after="0"/>
            </w:pPr>
            <w:r>
              <w:rPr>
                <w:b/>
                <w:color w:val="FFFFFF"/>
                <w:sz w:val="15"/>
              </w:rPr>
              <w:t>Activity</w:t>
            </w:r>
          </w:p>
        </w:tc>
        <w:tc>
          <w:tcPr>
            <w:tcW w:w="2590" w:type="dxa"/>
            <w:shd w:val="clear" w:color="auto" w:fill="1F4E79"/>
          </w:tcPr>
          <w:p w14:paraId="5B1DF53D" w14:textId="77777777" w:rsidR="00305781" w:rsidRDefault="0048767E">
            <w:pPr>
              <w:spacing w:after="0"/>
            </w:pPr>
            <w:r>
              <w:rPr>
                <w:b/>
                <w:color w:val="FFFFFF"/>
                <w:sz w:val="15"/>
              </w:rPr>
              <w:t>DfE menu alignment</w:t>
            </w:r>
          </w:p>
        </w:tc>
        <w:tc>
          <w:tcPr>
            <w:tcW w:w="2589" w:type="dxa"/>
            <w:shd w:val="clear" w:color="auto" w:fill="1F4E79"/>
          </w:tcPr>
          <w:p w14:paraId="27560A3E" w14:textId="77777777" w:rsidR="00305781" w:rsidRDefault="0048767E">
            <w:pPr>
              <w:spacing w:after="0"/>
            </w:pPr>
            <w:r>
              <w:rPr>
                <w:b/>
                <w:color w:val="FFFFFF"/>
                <w:sz w:val="15"/>
              </w:rPr>
              <w:t>Implementation, evidence and monitoring</w:t>
            </w:r>
          </w:p>
        </w:tc>
        <w:tc>
          <w:tcPr>
            <w:tcW w:w="2589" w:type="dxa"/>
            <w:shd w:val="clear" w:color="auto" w:fill="1F4E79"/>
          </w:tcPr>
          <w:p w14:paraId="2AD3A146" w14:textId="77777777" w:rsidR="00305781" w:rsidRDefault="0048767E">
            <w:pPr>
              <w:spacing w:after="0"/>
            </w:pPr>
            <w:r>
              <w:rPr>
                <w:b/>
                <w:color w:val="FFFFFF"/>
                <w:sz w:val="15"/>
              </w:rPr>
              <w:t>Challenges</w:t>
            </w:r>
          </w:p>
        </w:tc>
      </w:tr>
      <w:tr w:rsidR="00305781" w14:paraId="18DE6AE0" w14:textId="77777777" w:rsidTr="009E2122">
        <w:trPr>
          <w:jc w:val="center"/>
        </w:trPr>
        <w:tc>
          <w:tcPr>
            <w:tcW w:w="2590" w:type="dxa"/>
          </w:tcPr>
          <w:p w14:paraId="3077EE4F" w14:textId="77777777" w:rsidR="00305781" w:rsidRDefault="0048767E">
            <w:pPr>
              <w:spacing w:after="0"/>
              <w:rPr>
                <w:sz w:val="15"/>
              </w:rPr>
            </w:pPr>
            <w:r>
              <w:rPr>
                <w:sz w:val="15"/>
              </w:rPr>
              <w:t>Attendance Officer and targeted attendance support</w:t>
            </w:r>
          </w:p>
          <w:p w14:paraId="65CA3503" w14:textId="77777777" w:rsidR="00EA0DB9" w:rsidRDefault="00EA0DB9">
            <w:pPr>
              <w:spacing w:after="0"/>
            </w:pPr>
          </w:p>
        </w:tc>
        <w:tc>
          <w:tcPr>
            <w:tcW w:w="2590" w:type="dxa"/>
          </w:tcPr>
          <w:p w14:paraId="1960AF0D" w14:textId="77777777" w:rsidR="00305781" w:rsidRDefault="0048767E">
            <w:pPr>
              <w:spacing w:after="0"/>
            </w:pPr>
            <w:r>
              <w:rPr>
                <w:sz w:val="15"/>
              </w:rPr>
              <w:t>Menu: supporting attendance.</w:t>
            </w:r>
          </w:p>
        </w:tc>
        <w:tc>
          <w:tcPr>
            <w:tcW w:w="2589" w:type="dxa"/>
          </w:tcPr>
          <w:p w14:paraId="2D283BF9" w14:textId="77777777" w:rsidR="00305781" w:rsidRDefault="0048767E">
            <w:pPr>
              <w:spacing w:after="0"/>
            </w:pPr>
            <w:r>
              <w:rPr>
                <w:sz w:val="15"/>
              </w:rPr>
              <w:t>Daily/weekly tracking, early identification, family support and challenge, targeted plans and multi-agency working. Disadvantaged attendance and PA will be reviewed at least half-termly, with individual impact tracked for pupils receiving intensive support.</w:t>
            </w:r>
          </w:p>
        </w:tc>
        <w:tc>
          <w:tcPr>
            <w:tcW w:w="2589" w:type="dxa"/>
          </w:tcPr>
          <w:p w14:paraId="7B918669" w14:textId="77777777" w:rsidR="00305781" w:rsidRDefault="0048767E">
            <w:pPr>
              <w:spacing w:after="0"/>
            </w:pPr>
            <w:r>
              <w:rPr>
                <w:sz w:val="15"/>
              </w:rPr>
              <w:t>3</w:t>
            </w:r>
          </w:p>
        </w:tc>
      </w:tr>
      <w:tr w:rsidR="00305781" w14:paraId="5302E48E" w14:textId="77777777" w:rsidTr="009E2122">
        <w:trPr>
          <w:jc w:val="center"/>
        </w:trPr>
        <w:tc>
          <w:tcPr>
            <w:tcW w:w="2590" w:type="dxa"/>
            <w:shd w:val="clear" w:color="auto" w:fill="F4F7FA"/>
          </w:tcPr>
          <w:p w14:paraId="29E3953F" w14:textId="77777777" w:rsidR="00305781" w:rsidRDefault="0048767E">
            <w:pPr>
              <w:spacing w:after="0"/>
            </w:pPr>
            <w:r>
              <w:rPr>
                <w:sz w:val="15"/>
              </w:rPr>
              <w:t>Enrichment, trips, OPAL/play and wider opportunities</w:t>
            </w:r>
          </w:p>
        </w:tc>
        <w:tc>
          <w:tcPr>
            <w:tcW w:w="2590" w:type="dxa"/>
            <w:shd w:val="clear" w:color="auto" w:fill="F4F7FA"/>
          </w:tcPr>
          <w:p w14:paraId="1AE1595F" w14:textId="77777777" w:rsidR="00305781" w:rsidRDefault="0048767E">
            <w:pPr>
              <w:spacing w:after="0"/>
            </w:pPr>
            <w:r>
              <w:rPr>
                <w:sz w:val="15"/>
              </w:rPr>
              <w:t>Menu: enrichment, including extracurricular/co-curricular, sport, outdoor/nature activities and wider life skills.</w:t>
            </w:r>
          </w:p>
        </w:tc>
        <w:tc>
          <w:tcPr>
            <w:tcW w:w="2589" w:type="dxa"/>
            <w:shd w:val="clear" w:color="auto" w:fill="F4F7FA"/>
          </w:tcPr>
          <w:p w14:paraId="522E4FED" w14:textId="77777777" w:rsidR="00305781" w:rsidRDefault="0048767E">
            <w:pPr>
              <w:spacing w:after="0"/>
            </w:pPr>
            <w:r>
              <w:rPr>
                <w:sz w:val="15"/>
              </w:rPr>
              <w:t>Remove financial barriers and actively promote participation. Track disadvantaged participation rather than relying only on universal availability; use pupil voice to identify gaps in access.</w:t>
            </w:r>
          </w:p>
        </w:tc>
        <w:tc>
          <w:tcPr>
            <w:tcW w:w="2589" w:type="dxa"/>
            <w:shd w:val="clear" w:color="auto" w:fill="F4F7FA"/>
          </w:tcPr>
          <w:p w14:paraId="55BD1CB3" w14:textId="77777777" w:rsidR="00305781" w:rsidRDefault="0048767E">
            <w:pPr>
              <w:spacing w:after="0"/>
            </w:pPr>
            <w:r>
              <w:rPr>
                <w:sz w:val="15"/>
              </w:rPr>
              <w:t>5, 6</w:t>
            </w:r>
          </w:p>
        </w:tc>
      </w:tr>
      <w:tr w:rsidR="00305781" w14:paraId="317687EF" w14:textId="77777777" w:rsidTr="009E2122">
        <w:trPr>
          <w:jc w:val="center"/>
        </w:trPr>
        <w:tc>
          <w:tcPr>
            <w:tcW w:w="2590" w:type="dxa"/>
          </w:tcPr>
          <w:p w14:paraId="3106FA26" w14:textId="77777777" w:rsidR="00305781" w:rsidRDefault="0048767E">
            <w:pPr>
              <w:spacing w:after="0"/>
            </w:pPr>
            <w:r>
              <w:rPr>
                <w:sz w:val="15"/>
              </w:rPr>
              <w:t>Breakfast / wraparound support where this removes an identified barrier</w:t>
            </w:r>
          </w:p>
        </w:tc>
        <w:tc>
          <w:tcPr>
            <w:tcW w:w="2590" w:type="dxa"/>
          </w:tcPr>
          <w:p w14:paraId="73B7401E" w14:textId="77777777" w:rsidR="00305781" w:rsidRDefault="0048767E">
            <w:pPr>
              <w:spacing w:after="0"/>
            </w:pPr>
            <w:r>
              <w:rPr>
                <w:sz w:val="15"/>
              </w:rPr>
              <w:t>Menu: breakfast clubs and meal provision; supporting attendance.</w:t>
            </w:r>
          </w:p>
        </w:tc>
        <w:tc>
          <w:tcPr>
            <w:tcW w:w="2589" w:type="dxa"/>
          </w:tcPr>
          <w:p w14:paraId="5823C791" w14:textId="77777777" w:rsidR="00305781" w:rsidRDefault="0048767E">
            <w:pPr>
              <w:spacing w:after="0"/>
            </w:pPr>
            <w:r>
              <w:rPr>
                <w:sz w:val="15"/>
              </w:rPr>
              <w:t>Use targeted subsidy where evidence shows it supports punctuality, attendance, readiness to learn or family engagement. Review use and impact for identified pupils.</w:t>
            </w:r>
          </w:p>
        </w:tc>
        <w:tc>
          <w:tcPr>
            <w:tcW w:w="2589" w:type="dxa"/>
          </w:tcPr>
          <w:p w14:paraId="6FABEB80" w14:textId="77777777" w:rsidR="00305781" w:rsidRDefault="0048767E">
            <w:pPr>
              <w:spacing w:after="0"/>
            </w:pPr>
            <w:r>
              <w:rPr>
                <w:sz w:val="15"/>
              </w:rPr>
              <w:t>3, 6</w:t>
            </w:r>
          </w:p>
        </w:tc>
      </w:tr>
      <w:tr w:rsidR="00305781" w14:paraId="0304E397" w14:textId="77777777" w:rsidTr="009E2122">
        <w:trPr>
          <w:jc w:val="center"/>
        </w:trPr>
        <w:tc>
          <w:tcPr>
            <w:tcW w:w="2590" w:type="dxa"/>
            <w:shd w:val="clear" w:color="auto" w:fill="F4F7FA"/>
          </w:tcPr>
          <w:p w14:paraId="2B49AE2C" w14:textId="77777777" w:rsidR="00305781" w:rsidRDefault="0048767E">
            <w:pPr>
              <w:spacing w:after="0"/>
            </w:pPr>
            <w:r>
              <w:rPr>
                <w:sz w:val="15"/>
              </w:rPr>
              <w:t>Essential uniform/equipment support in exceptional circumstances</w:t>
            </w:r>
          </w:p>
        </w:tc>
        <w:tc>
          <w:tcPr>
            <w:tcW w:w="2590" w:type="dxa"/>
            <w:shd w:val="clear" w:color="auto" w:fill="F4F7FA"/>
          </w:tcPr>
          <w:p w14:paraId="44AB995D" w14:textId="77777777" w:rsidR="00305781" w:rsidRDefault="0048767E">
            <w:pPr>
              <w:spacing w:after="0"/>
            </w:pPr>
            <w:r>
              <w:rPr>
                <w:sz w:val="15"/>
              </w:rPr>
              <w:t>Exceptional use permitted where necessary to overcome a specific barrier to attainment/readiness to learn.</w:t>
            </w:r>
          </w:p>
        </w:tc>
        <w:tc>
          <w:tcPr>
            <w:tcW w:w="2589" w:type="dxa"/>
            <w:shd w:val="clear" w:color="auto" w:fill="F4F7FA"/>
          </w:tcPr>
          <w:p w14:paraId="0627544A" w14:textId="77777777" w:rsidR="00305781" w:rsidRDefault="0048767E">
            <w:pPr>
              <w:spacing w:after="0"/>
            </w:pPr>
            <w:r>
              <w:rPr>
                <w:sz w:val="15"/>
              </w:rPr>
              <w:t>Provide proportionate support where acute financial need would otherwise prevent a pupil being equipped, included or ready to learn. Record rationale and review impact rather than treating this as an automatic entitlement.</w:t>
            </w:r>
          </w:p>
        </w:tc>
        <w:tc>
          <w:tcPr>
            <w:tcW w:w="2589" w:type="dxa"/>
            <w:shd w:val="clear" w:color="auto" w:fill="F4F7FA"/>
          </w:tcPr>
          <w:p w14:paraId="2DD943A5" w14:textId="77777777" w:rsidR="00305781" w:rsidRDefault="0048767E">
            <w:pPr>
              <w:spacing w:after="0"/>
            </w:pPr>
            <w:r>
              <w:rPr>
                <w:sz w:val="15"/>
              </w:rPr>
              <w:t>3, 6</w:t>
            </w:r>
          </w:p>
        </w:tc>
      </w:tr>
    </w:tbl>
    <w:p w14:paraId="6D9BD8BE" w14:textId="77777777" w:rsidR="00305781" w:rsidRDefault="0048767E">
      <w:pPr>
        <w:pStyle w:val="Heading2"/>
      </w:pPr>
      <w:r>
        <w:t>Budget summary</w:t>
      </w:r>
    </w:p>
    <w:tbl>
      <w:tblPr>
        <w:tblStyle w:val="TableGrid"/>
        <w:tblW w:w="0" w:type="auto"/>
        <w:jc w:val="center"/>
        <w:tblLook w:val="04A0" w:firstRow="1" w:lastRow="0" w:firstColumn="1" w:lastColumn="0" w:noHBand="0" w:noVBand="1"/>
      </w:tblPr>
      <w:tblGrid>
        <w:gridCol w:w="5179"/>
        <w:gridCol w:w="5179"/>
      </w:tblGrid>
      <w:tr w:rsidR="00305781" w14:paraId="15F028DB" w14:textId="77777777">
        <w:trPr>
          <w:jc w:val="center"/>
        </w:trPr>
        <w:tc>
          <w:tcPr>
            <w:tcW w:w="5184" w:type="dxa"/>
            <w:shd w:val="clear" w:color="auto" w:fill="1F4E79"/>
          </w:tcPr>
          <w:p w14:paraId="0ED6D668" w14:textId="77777777" w:rsidR="00305781" w:rsidRDefault="0048767E">
            <w:pPr>
              <w:spacing w:after="0"/>
            </w:pPr>
            <w:r>
              <w:rPr>
                <w:b/>
                <w:color w:val="FFFFFF"/>
                <w:sz w:val="17"/>
              </w:rPr>
              <w:t>Category</w:t>
            </w:r>
          </w:p>
        </w:tc>
        <w:tc>
          <w:tcPr>
            <w:tcW w:w="5184" w:type="dxa"/>
            <w:shd w:val="clear" w:color="auto" w:fill="1F4E79"/>
          </w:tcPr>
          <w:p w14:paraId="62EC150B" w14:textId="77777777" w:rsidR="00305781" w:rsidRDefault="0048767E">
            <w:pPr>
              <w:spacing w:after="0"/>
            </w:pPr>
            <w:r>
              <w:rPr>
                <w:b/>
                <w:color w:val="FFFFFF"/>
                <w:sz w:val="17"/>
              </w:rPr>
              <w:t>Budget</w:t>
            </w:r>
          </w:p>
        </w:tc>
      </w:tr>
      <w:tr w:rsidR="00305781" w14:paraId="56CC957A" w14:textId="77777777">
        <w:trPr>
          <w:jc w:val="center"/>
        </w:trPr>
        <w:tc>
          <w:tcPr>
            <w:tcW w:w="5184" w:type="dxa"/>
          </w:tcPr>
          <w:p w14:paraId="395C1594" w14:textId="77777777" w:rsidR="00305781" w:rsidRDefault="0048767E">
            <w:pPr>
              <w:spacing w:after="0"/>
            </w:pPr>
            <w:r>
              <w:rPr>
                <w:sz w:val="17"/>
              </w:rPr>
              <w:t>Teaching</w:t>
            </w:r>
          </w:p>
        </w:tc>
        <w:tc>
          <w:tcPr>
            <w:tcW w:w="5184" w:type="dxa"/>
          </w:tcPr>
          <w:p w14:paraId="1CB49533" w14:textId="3B68760F" w:rsidR="00305781" w:rsidRDefault="0048767E">
            <w:pPr>
              <w:spacing w:after="0"/>
            </w:pPr>
            <w:r w:rsidRPr="009E2122">
              <w:rPr>
                <w:sz w:val="17"/>
              </w:rPr>
              <w:t>£</w:t>
            </w:r>
            <w:r w:rsidR="009E2122" w:rsidRPr="009E2122">
              <w:rPr>
                <w:sz w:val="17"/>
              </w:rPr>
              <w:t>24</w:t>
            </w:r>
            <w:r w:rsidR="009E2122">
              <w:rPr>
                <w:sz w:val="17"/>
              </w:rPr>
              <w:t>33,350</w:t>
            </w:r>
          </w:p>
        </w:tc>
      </w:tr>
      <w:tr w:rsidR="00305781" w14:paraId="73CE6DAB" w14:textId="77777777" w:rsidTr="009E2122">
        <w:trPr>
          <w:jc w:val="center"/>
        </w:trPr>
        <w:tc>
          <w:tcPr>
            <w:tcW w:w="5184" w:type="dxa"/>
            <w:shd w:val="clear" w:color="auto" w:fill="F4F7FA"/>
          </w:tcPr>
          <w:p w14:paraId="018F3BE5" w14:textId="77777777" w:rsidR="00305781" w:rsidRDefault="0048767E">
            <w:pPr>
              <w:spacing w:after="0"/>
            </w:pPr>
            <w:r>
              <w:rPr>
                <w:sz w:val="17"/>
              </w:rPr>
              <w:t>Targeted academic support</w:t>
            </w:r>
          </w:p>
        </w:tc>
        <w:tc>
          <w:tcPr>
            <w:tcW w:w="5184" w:type="dxa"/>
          </w:tcPr>
          <w:p w14:paraId="6EF97A1C" w14:textId="13D90613" w:rsidR="00305781" w:rsidRDefault="0048767E">
            <w:pPr>
              <w:spacing w:after="0"/>
            </w:pPr>
            <w:r w:rsidRPr="009E2122">
              <w:rPr>
                <w:sz w:val="17"/>
              </w:rPr>
              <w:t>£</w:t>
            </w:r>
            <w:r w:rsidR="009E2122" w:rsidRPr="009E2122">
              <w:rPr>
                <w:sz w:val="17"/>
              </w:rPr>
              <w:t>962</w:t>
            </w:r>
            <w:r w:rsidR="009E2122">
              <w:rPr>
                <w:sz w:val="17"/>
              </w:rPr>
              <w:t>,425</w:t>
            </w:r>
          </w:p>
        </w:tc>
      </w:tr>
      <w:tr w:rsidR="00305781" w14:paraId="7ACC7711" w14:textId="77777777">
        <w:trPr>
          <w:jc w:val="center"/>
        </w:trPr>
        <w:tc>
          <w:tcPr>
            <w:tcW w:w="5184" w:type="dxa"/>
          </w:tcPr>
          <w:p w14:paraId="51523B45" w14:textId="77777777" w:rsidR="00305781" w:rsidRPr="009E2122" w:rsidRDefault="0048767E">
            <w:pPr>
              <w:spacing w:after="0"/>
            </w:pPr>
            <w:r w:rsidRPr="009E2122">
              <w:rPr>
                <w:sz w:val="17"/>
              </w:rPr>
              <w:t>Wider strategies</w:t>
            </w:r>
          </w:p>
        </w:tc>
        <w:tc>
          <w:tcPr>
            <w:tcW w:w="5184" w:type="dxa"/>
          </w:tcPr>
          <w:p w14:paraId="5AB8B389" w14:textId="3B40FAEE" w:rsidR="00305781" w:rsidRPr="009E2122" w:rsidRDefault="0048767E">
            <w:pPr>
              <w:spacing w:after="0"/>
            </w:pPr>
            <w:r w:rsidRPr="009E2122">
              <w:rPr>
                <w:sz w:val="17"/>
              </w:rPr>
              <w:t>£</w:t>
            </w:r>
            <w:r w:rsidR="009E2122" w:rsidRPr="009E2122">
              <w:rPr>
                <w:sz w:val="17"/>
              </w:rPr>
              <w:t>29625.60</w:t>
            </w:r>
          </w:p>
        </w:tc>
      </w:tr>
      <w:tr w:rsidR="00305781" w14:paraId="73047DA6" w14:textId="77777777">
        <w:trPr>
          <w:jc w:val="center"/>
        </w:trPr>
        <w:tc>
          <w:tcPr>
            <w:tcW w:w="5184" w:type="dxa"/>
            <w:shd w:val="clear" w:color="auto" w:fill="F4F7FA"/>
          </w:tcPr>
          <w:p w14:paraId="1100C163" w14:textId="77777777" w:rsidR="00305781" w:rsidRDefault="0048767E">
            <w:pPr>
              <w:spacing w:after="0"/>
            </w:pPr>
            <w:r>
              <w:rPr>
                <w:sz w:val="17"/>
              </w:rPr>
              <w:t>Total budgeted cost</w:t>
            </w:r>
          </w:p>
        </w:tc>
        <w:tc>
          <w:tcPr>
            <w:tcW w:w="5184" w:type="dxa"/>
            <w:shd w:val="clear" w:color="auto" w:fill="F4F7FA"/>
          </w:tcPr>
          <w:p w14:paraId="6507B054" w14:textId="7304FAE9" w:rsidR="00305781" w:rsidRDefault="0048767E">
            <w:pPr>
              <w:spacing w:after="0"/>
            </w:pPr>
            <w:r w:rsidRPr="00017C11">
              <w:rPr>
                <w:sz w:val="17"/>
              </w:rPr>
              <w:t>£</w:t>
            </w:r>
            <w:r w:rsidR="00EA403C" w:rsidRPr="00017C11">
              <w:rPr>
                <w:sz w:val="17"/>
              </w:rPr>
              <w:t>3</w:t>
            </w:r>
            <w:r w:rsidR="00EA403C">
              <w:rPr>
                <w:sz w:val="17"/>
              </w:rPr>
              <w:t>,425,400.60</w:t>
            </w:r>
          </w:p>
        </w:tc>
      </w:tr>
    </w:tbl>
    <w:p w14:paraId="0E55422B" w14:textId="77777777" w:rsidR="00305781" w:rsidRDefault="0048767E">
      <w:pPr>
        <w:pStyle w:val="Heading2"/>
      </w:pPr>
      <w:r>
        <w:t>Implementation, monitoring and evaluation</w:t>
      </w:r>
    </w:p>
    <w:p w14:paraId="77D81EA5" w14:textId="77777777" w:rsidR="00305781" w:rsidRDefault="0048767E">
      <w:r>
        <w:t>The strategy will be monitored through the school’s existing standards, inclusion, attendance and quality-assurance systems. Leaders will evaluate outcomes for disadvantaged pupils, not simply whether an activity took place. Review points will consider attainment and progress, attendance and persistent absence, behaviour/engagement, participation, pupil and parent voice, and implementation fidelity. Where an approach is not securing the intended improvement, leaders will adapt, stop or replace it.</w:t>
      </w:r>
    </w:p>
    <w:p w14:paraId="391C9488" w14:textId="77777777" w:rsidR="00305781" w:rsidRDefault="0048767E">
      <w:r>
        <w:t>Pupil premium is a whole-school responsibility. The Headteacher, pupil premium lead, SENDCo/inclusion leaders, DSL team, attendance lead, phase/curriculum leaders and governors will contribute to review. The strategy is aligned with the School Improvement and Development Plan so that improving outcomes for disadvantaged pupils is integral to school improvement rather than a separate initiative.</w:t>
      </w:r>
    </w:p>
    <w:p w14:paraId="187AF129" w14:textId="77777777" w:rsidR="00305781" w:rsidRDefault="0048767E">
      <w:r>
        <w:br w:type="page"/>
      </w:r>
    </w:p>
    <w:p w14:paraId="3F827DDF" w14:textId="77777777" w:rsidR="00305781" w:rsidRDefault="0048767E">
      <w:pPr>
        <w:pStyle w:val="Heading1"/>
      </w:pPr>
      <w:r>
        <w:lastRenderedPageBreak/>
        <w:t>Part B: Review of outcomes in the previous academic year</w:t>
      </w:r>
    </w:p>
    <w:p w14:paraId="0C23B4E6" w14:textId="77777777" w:rsidR="00305781" w:rsidRDefault="0048767E">
      <w:pPr>
        <w:pStyle w:val="Heading2"/>
      </w:pPr>
      <w:r>
        <w:t>Outcomes for disadvantaged pupils: 2025–26</w:t>
      </w:r>
    </w:p>
    <w:p w14:paraId="50DF89B6" w14:textId="77777777" w:rsidR="00305781" w:rsidRDefault="0048767E">
      <w:r>
        <w:t>The 2025–26 evaluation shows a mixed picture. The school strengthened systems, curriculum implementation, assessment, inclusion and targeted support, but these improvements did not yet translate into consistently strong statutory outcomes. The new strategy therefore retains high-quality teaching as the central lever while sharpening the focus on early reading, writing, mathematics, attendance and the interaction between disadvantage and SEND.</w:t>
      </w:r>
    </w:p>
    <w:p w14:paraId="2AB2E0C3" w14:textId="77777777" w:rsidR="00305781" w:rsidRDefault="0048767E">
      <w:pPr>
        <w:pStyle w:val="Heading3"/>
      </w:pPr>
      <w:r>
        <w:t>Academic outcomes</w:t>
      </w:r>
    </w:p>
    <w:p w14:paraId="2B6563EB" w14:textId="77777777" w:rsidR="00305781" w:rsidRDefault="0048767E">
      <w:r>
        <w:t>Whole-school statutory outcomes in 2025–26 indicate that further improvement is required. Year 1 phonics was 64%, Year 2 phonics re-screen was 77%, and the Year 4 multiplication tables check average was 19.3 with 21% achieving 25/25. Key Stage 2 outcomes were below the school’s recent performance and national outcomes in most measures. These whole-cohort outcomes reinforce the need to secure consistently strong teaching and rapid, precise support for disadvantaged pupils.</w:t>
      </w:r>
    </w:p>
    <w:p w14:paraId="6BB7085C" w14:textId="7CBFC546" w:rsidR="00305781" w:rsidRDefault="00305781">
      <w:pPr>
        <w:rPr>
          <w:b/>
        </w:rPr>
      </w:pPr>
    </w:p>
    <w:tbl>
      <w:tblPr>
        <w:tblStyle w:val="TableGrid"/>
        <w:tblW w:w="0" w:type="auto"/>
        <w:tblLook w:val="04A0" w:firstRow="1" w:lastRow="0" w:firstColumn="1" w:lastColumn="0" w:noHBand="0" w:noVBand="1"/>
      </w:tblPr>
      <w:tblGrid>
        <w:gridCol w:w="1980"/>
        <w:gridCol w:w="1843"/>
      </w:tblGrid>
      <w:tr w:rsidR="004A5E12" w14:paraId="1664ED85" w14:textId="77777777" w:rsidTr="004A5E12">
        <w:tc>
          <w:tcPr>
            <w:tcW w:w="1980" w:type="dxa"/>
          </w:tcPr>
          <w:p w14:paraId="4F345EBE" w14:textId="3CC484CF" w:rsidR="004A5E12" w:rsidRDefault="004A5E12">
            <w:pPr>
              <w:rPr>
                <w:b/>
              </w:rPr>
            </w:pPr>
            <w:r>
              <w:rPr>
                <w:b/>
              </w:rPr>
              <w:t>EYFS</w:t>
            </w:r>
          </w:p>
        </w:tc>
        <w:tc>
          <w:tcPr>
            <w:tcW w:w="1843" w:type="dxa"/>
          </w:tcPr>
          <w:p w14:paraId="272375A4" w14:textId="53DCD049" w:rsidR="004A5E12" w:rsidRDefault="004A5E12">
            <w:pPr>
              <w:rPr>
                <w:b/>
              </w:rPr>
            </w:pPr>
            <w:r>
              <w:rPr>
                <w:b/>
              </w:rPr>
              <w:t>35%</w:t>
            </w:r>
          </w:p>
        </w:tc>
      </w:tr>
      <w:tr w:rsidR="004A5E12" w14:paraId="7F06B941" w14:textId="77777777" w:rsidTr="004A5E12">
        <w:tc>
          <w:tcPr>
            <w:tcW w:w="1980" w:type="dxa"/>
          </w:tcPr>
          <w:p w14:paraId="38F8D218" w14:textId="0448640A" w:rsidR="004A5E12" w:rsidRDefault="004A5E12">
            <w:pPr>
              <w:rPr>
                <w:b/>
              </w:rPr>
            </w:pPr>
            <w:r>
              <w:rPr>
                <w:b/>
              </w:rPr>
              <w:t>Phonics</w:t>
            </w:r>
          </w:p>
        </w:tc>
        <w:tc>
          <w:tcPr>
            <w:tcW w:w="1843" w:type="dxa"/>
          </w:tcPr>
          <w:p w14:paraId="3CA0C733" w14:textId="76C89AB1" w:rsidR="004A5E12" w:rsidRDefault="004A5E12">
            <w:pPr>
              <w:rPr>
                <w:b/>
              </w:rPr>
            </w:pPr>
            <w:r>
              <w:rPr>
                <w:b/>
              </w:rPr>
              <w:t>52%</w:t>
            </w:r>
          </w:p>
        </w:tc>
      </w:tr>
      <w:tr w:rsidR="004A5E12" w14:paraId="3A061EB6" w14:textId="77777777" w:rsidTr="004A5E12">
        <w:tc>
          <w:tcPr>
            <w:tcW w:w="1980" w:type="dxa"/>
          </w:tcPr>
          <w:p w14:paraId="3FFDE8A0" w14:textId="52F3F36A" w:rsidR="004A5E12" w:rsidRDefault="00A51024">
            <w:pPr>
              <w:rPr>
                <w:b/>
              </w:rPr>
            </w:pPr>
            <w:r>
              <w:rPr>
                <w:b/>
              </w:rPr>
              <w:t>MTC</w:t>
            </w:r>
          </w:p>
        </w:tc>
        <w:tc>
          <w:tcPr>
            <w:tcW w:w="1843" w:type="dxa"/>
          </w:tcPr>
          <w:p w14:paraId="0AD21F44" w14:textId="52181722" w:rsidR="004A5E12" w:rsidRDefault="00A51024">
            <w:pPr>
              <w:rPr>
                <w:b/>
              </w:rPr>
            </w:pPr>
            <w:r>
              <w:rPr>
                <w:b/>
              </w:rPr>
              <w:t>11%</w:t>
            </w:r>
          </w:p>
        </w:tc>
      </w:tr>
      <w:tr w:rsidR="004A5E12" w14:paraId="45228896" w14:textId="77777777" w:rsidTr="004A5E12">
        <w:tc>
          <w:tcPr>
            <w:tcW w:w="1980" w:type="dxa"/>
          </w:tcPr>
          <w:p w14:paraId="17D51000" w14:textId="7536A7E5" w:rsidR="004A5E12" w:rsidRDefault="00A51024">
            <w:pPr>
              <w:rPr>
                <w:b/>
              </w:rPr>
            </w:pPr>
            <w:r>
              <w:rPr>
                <w:b/>
              </w:rPr>
              <w:t>KS2-Reading</w:t>
            </w:r>
          </w:p>
        </w:tc>
        <w:tc>
          <w:tcPr>
            <w:tcW w:w="1843" w:type="dxa"/>
          </w:tcPr>
          <w:p w14:paraId="63D38858" w14:textId="5F28237D" w:rsidR="004A5E12" w:rsidRDefault="001216A3">
            <w:pPr>
              <w:rPr>
                <w:b/>
              </w:rPr>
            </w:pPr>
            <w:r>
              <w:rPr>
                <w:b/>
              </w:rPr>
              <w:t>41.2%</w:t>
            </w:r>
          </w:p>
        </w:tc>
      </w:tr>
      <w:tr w:rsidR="004A5E12" w14:paraId="04FF6A4A" w14:textId="77777777" w:rsidTr="004A5E12">
        <w:tc>
          <w:tcPr>
            <w:tcW w:w="1980" w:type="dxa"/>
          </w:tcPr>
          <w:p w14:paraId="58DEBC8E" w14:textId="70F087BD" w:rsidR="004A5E12" w:rsidRDefault="00A51024">
            <w:pPr>
              <w:rPr>
                <w:b/>
              </w:rPr>
            </w:pPr>
            <w:r>
              <w:rPr>
                <w:b/>
              </w:rPr>
              <w:t>KS2-Writing</w:t>
            </w:r>
          </w:p>
        </w:tc>
        <w:tc>
          <w:tcPr>
            <w:tcW w:w="1843" w:type="dxa"/>
          </w:tcPr>
          <w:p w14:paraId="73F47A29" w14:textId="1CFBD6C9" w:rsidR="004A5E12" w:rsidRDefault="001216A3">
            <w:pPr>
              <w:rPr>
                <w:b/>
              </w:rPr>
            </w:pPr>
            <w:r>
              <w:rPr>
                <w:b/>
              </w:rPr>
              <w:t>35.5%</w:t>
            </w:r>
          </w:p>
        </w:tc>
      </w:tr>
      <w:tr w:rsidR="00A51024" w14:paraId="4FD10A6D" w14:textId="77777777" w:rsidTr="004A5E12">
        <w:tc>
          <w:tcPr>
            <w:tcW w:w="1980" w:type="dxa"/>
          </w:tcPr>
          <w:p w14:paraId="1F02EB33" w14:textId="3E44792D" w:rsidR="00A51024" w:rsidRDefault="00A51024">
            <w:pPr>
              <w:rPr>
                <w:b/>
              </w:rPr>
            </w:pPr>
            <w:r>
              <w:rPr>
                <w:b/>
              </w:rPr>
              <w:t>KS2-Maths</w:t>
            </w:r>
          </w:p>
        </w:tc>
        <w:tc>
          <w:tcPr>
            <w:tcW w:w="1843" w:type="dxa"/>
          </w:tcPr>
          <w:p w14:paraId="4E05CE88" w14:textId="23DEDED7" w:rsidR="00A51024" w:rsidRDefault="001216A3">
            <w:pPr>
              <w:rPr>
                <w:b/>
              </w:rPr>
            </w:pPr>
            <w:r>
              <w:rPr>
                <w:b/>
              </w:rPr>
              <w:t>47.1%</w:t>
            </w:r>
          </w:p>
        </w:tc>
      </w:tr>
      <w:tr w:rsidR="00A51024" w14:paraId="558B955D" w14:textId="77777777" w:rsidTr="004A5E12">
        <w:tc>
          <w:tcPr>
            <w:tcW w:w="1980" w:type="dxa"/>
          </w:tcPr>
          <w:p w14:paraId="063FC050" w14:textId="2FBC8A4F" w:rsidR="00A51024" w:rsidRDefault="00A51024">
            <w:pPr>
              <w:rPr>
                <w:b/>
              </w:rPr>
            </w:pPr>
            <w:r>
              <w:rPr>
                <w:b/>
              </w:rPr>
              <w:t>KS2-Combined</w:t>
            </w:r>
          </w:p>
        </w:tc>
        <w:tc>
          <w:tcPr>
            <w:tcW w:w="1843" w:type="dxa"/>
          </w:tcPr>
          <w:p w14:paraId="56C16D51" w14:textId="398A9FE6" w:rsidR="00A51024" w:rsidRDefault="001216A3">
            <w:pPr>
              <w:rPr>
                <w:b/>
              </w:rPr>
            </w:pPr>
            <w:r>
              <w:rPr>
                <w:b/>
              </w:rPr>
              <w:t>26.5%</w:t>
            </w:r>
          </w:p>
        </w:tc>
      </w:tr>
    </w:tbl>
    <w:p w14:paraId="690743E4" w14:textId="77777777" w:rsidR="00321AE9" w:rsidRDefault="00321AE9"/>
    <w:p w14:paraId="67C89107" w14:textId="77777777" w:rsidR="00305781" w:rsidRDefault="0048767E">
      <w:r>
        <w:t>The previous strategy identified early reading as an area of improving strength. The 2026 phonics outcome means this judgement cannot simply be carried forward. Leaders will use the new strategy period to re-establish stronger phonics outcomes through RWI fidelity, assessment/regrouping, coaching and rapid keep-up, with disadvantaged pupils explicitly tracked.</w:t>
      </w:r>
    </w:p>
    <w:p w14:paraId="1470B10E" w14:textId="77777777" w:rsidR="00305781" w:rsidRDefault="0048767E">
      <w:pPr>
        <w:pStyle w:val="Heading3"/>
      </w:pPr>
      <w:r>
        <w:t>Attendance</w:t>
      </w:r>
    </w:p>
    <w:p w14:paraId="4245350F" w14:textId="77777777" w:rsidR="00305781" w:rsidRDefault="0048767E">
      <w:r>
        <w:t>Attendance remained one of the most significant barriers for disadvantaged pupils. The previous review recorded disadvantaged attendance at 90.6% compared with 95.3% for other pupils, and persistent absence at 32.1% compared with 11%. The Attendance Officer and pastoral work strengthened monitoring, early identification and family support, but the size of the gap demonstrates that attendance must remain a central outcome measure in 2026–29.</w:t>
      </w:r>
    </w:p>
    <w:p w14:paraId="74116B85" w14:textId="77777777" w:rsidR="00305781" w:rsidRDefault="0048767E">
      <w:pPr>
        <w:pStyle w:val="Heading3"/>
      </w:pPr>
      <w:r>
        <w:t>Behaviour, wellbeing and inclusion</w:t>
      </w:r>
    </w:p>
    <w:p w14:paraId="5B56BCCF" w14:textId="77777777" w:rsidR="00305781" w:rsidRDefault="0048767E">
      <w:r>
        <w:t>Behaviour improved from the spring term onwards following strengthened routines, monitoring, coaching and targeted support. Analysis across the year showed that higher levels of incident were increasingly concentrated within a small cohort of pupils with additional and complex needs. This supports a continued emphasis on relational practice, regulation, SEND-informed reasonable adjustments and targeted reintegration, while maintaining high expectations for all pupils.</w:t>
      </w:r>
    </w:p>
    <w:p w14:paraId="299635D4" w14:textId="77777777" w:rsidR="00305781" w:rsidRDefault="0048767E">
      <w:r>
        <w:t>The overlap between disadvantage and SEND remains particularly important. The new strategy therefore makes this an explicit challenge rather than treating SEND only as a contextual factor. Targeted academic and wider provision will be evaluated for whether it improves curriculum access, independence, engagement and educational outcomes.</w:t>
      </w:r>
    </w:p>
    <w:p w14:paraId="029BDDB0" w14:textId="77777777" w:rsidR="00305781" w:rsidRDefault="0048767E">
      <w:pPr>
        <w:pStyle w:val="Heading3"/>
      </w:pPr>
      <w:r>
        <w:t>Wider opportunities and belonging</w:t>
      </w:r>
    </w:p>
    <w:p w14:paraId="309449FB" w14:textId="77777777" w:rsidR="00305781" w:rsidRDefault="0048767E">
      <w:r>
        <w:t>Financial support, enrichment, OPAL/play, wraparound provision and pastoral support helped remove barriers to participation and supported pupils’ confidence and belonging. In the new strategy, leaders will strengthen evaluation by tracking participation and outcomes for disadvantaged pupils more systematically rather than relying solely on provision being available.</w:t>
      </w:r>
    </w:p>
    <w:p w14:paraId="43E6FFFF" w14:textId="77777777" w:rsidR="00305781" w:rsidRDefault="0048767E">
      <w:pPr>
        <w:pStyle w:val="Heading3"/>
      </w:pPr>
      <w:r>
        <w:t>Key conclusions from 2025–26</w:t>
      </w:r>
    </w:p>
    <w:p w14:paraId="0FF7B401" w14:textId="77777777" w:rsidR="00305781" w:rsidRDefault="0048767E">
      <w:pPr>
        <w:pStyle w:val="ListBullet"/>
      </w:pPr>
      <w:r>
        <w:t>High-quality teaching must remain the first priority, with greater consistency across classrooms and subjects.</w:t>
      </w:r>
    </w:p>
    <w:p w14:paraId="2CC14017" w14:textId="77777777" w:rsidR="00305781" w:rsidRDefault="0048767E">
      <w:pPr>
        <w:pStyle w:val="ListBullet"/>
      </w:pPr>
      <w:r>
        <w:lastRenderedPageBreak/>
        <w:t>Early language, phonics and reading require renewed focus following the 2026 outcomes.</w:t>
      </w:r>
    </w:p>
    <w:p w14:paraId="0CC46EE7" w14:textId="77777777" w:rsidR="00305781" w:rsidRDefault="0048767E">
      <w:pPr>
        <w:pStyle w:val="ListBullet"/>
      </w:pPr>
      <w:r>
        <w:t>Writing and mathematics require stronger fluency, automaticity and depth, supported by precise assessment and intervention.</w:t>
      </w:r>
    </w:p>
    <w:p w14:paraId="66DF3E66" w14:textId="77777777" w:rsidR="00305781" w:rsidRDefault="0048767E">
      <w:pPr>
        <w:pStyle w:val="ListBullet"/>
      </w:pPr>
      <w:r>
        <w:t>Attendance and persistent absence remain substantial barriers to educational outcomes for disadvantaged pupils.</w:t>
      </w:r>
    </w:p>
    <w:p w14:paraId="1D69CEE3" w14:textId="77777777" w:rsidR="00305781" w:rsidRDefault="0048767E">
      <w:pPr>
        <w:pStyle w:val="ListBullet"/>
      </w:pPr>
      <w:r>
        <w:t>The overlap between disadvantage, SEND and regulation needs must be explicitly reflected in planning and evaluation.</w:t>
      </w:r>
    </w:p>
    <w:p w14:paraId="7F32894B" w14:textId="77777777" w:rsidR="00305781" w:rsidRDefault="0048767E">
      <w:pPr>
        <w:pStyle w:val="ListBullet"/>
      </w:pPr>
      <w:r>
        <w:t>Enrichment and pastoral provision should continue, but impact must be demonstrated through participation and pupil outcomes.</w:t>
      </w:r>
    </w:p>
    <w:p w14:paraId="50C9F03D" w14:textId="77777777" w:rsidR="00305781" w:rsidRDefault="0048767E">
      <w:pPr>
        <w:pStyle w:val="Heading2"/>
      </w:pPr>
      <w:r>
        <w:t>Externally provided programmes</w:t>
      </w:r>
    </w:p>
    <w:tbl>
      <w:tblPr>
        <w:tblStyle w:val="TableGrid"/>
        <w:tblW w:w="0" w:type="auto"/>
        <w:jc w:val="center"/>
        <w:tblLook w:val="04A0" w:firstRow="1" w:lastRow="0" w:firstColumn="1" w:lastColumn="0" w:noHBand="0" w:noVBand="1"/>
      </w:tblPr>
      <w:tblGrid>
        <w:gridCol w:w="5179"/>
        <w:gridCol w:w="5179"/>
      </w:tblGrid>
      <w:tr w:rsidR="00305781" w14:paraId="0361FEBA" w14:textId="77777777">
        <w:trPr>
          <w:jc w:val="center"/>
        </w:trPr>
        <w:tc>
          <w:tcPr>
            <w:tcW w:w="5184" w:type="dxa"/>
            <w:shd w:val="clear" w:color="auto" w:fill="1F4E79"/>
          </w:tcPr>
          <w:p w14:paraId="6E1246DF" w14:textId="77777777" w:rsidR="00305781" w:rsidRDefault="0048767E">
            <w:pPr>
              <w:spacing w:after="0"/>
            </w:pPr>
            <w:r>
              <w:rPr>
                <w:b/>
                <w:color w:val="FFFFFF"/>
                <w:sz w:val="17"/>
              </w:rPr>
              <w:t>Programme</w:t>
            </w:r>
          </w:p>
        </w:tc>
        <w:tc>
          <w:tcPr>
            <w:tcW w:w="5184" w:type="dxa"/>
            <w:shd w:val="clear" w:color="auto" w:fill="1F4E79"/>
          </w:tcPr>
          <w:p w14:paraId="4E35DCBC" w14:textId="77777777" w:rsidR="00305781" w:rsidRDefault="0048767E">
            <w:pPr>
              <w:spacing w:after="0"/>
            </w:pPr>
            <w:r>
              <w:rPr>
                <w:b/>
                <w:color w:val="FFFFFF"/>
                <w:sz w:val="17"/>
              </w:rPr>
              <w:t>Provider</w:t>
            </w:r>
          </w:p>
        </w:tc>
      </w:tr>
      <w:tr w:rsidR="00305781" w14:paraId="4D2FF059" w14:textId="77777777">
        <w:trPr>
          <w:jc w:val="center"/>
        </w:trPr>
        <w:tc>
          <w:tcPr>
            <w:tcW w:w="5184" w:type="dxa"/>
          </w:tcPr>
          <w:p w14:paraId="6175E4A9" w14:textId="77777777" w:rsidR="00305781" w:rsidRDefault="0048767E">
            <w:pPr>
              <w:spacing w:after="0"/>
            </w:pPr>
            <w:r>
              <w:rPr>
                <w:sz w:val="17"/>
              </w:rPr>
              <w:t>Read Write Inc.</w:t>
            </w:r>
          </w:p>
        </w:tc>
        <w:tc>
          <w:tcPr>
            <w:tcW w:w="5184" w:type="dxa"/>
          </w:tcPr>
          <w:p w14:paraId="02D1FEFD" w14:textId="77777777" w:rsidR="00305781" w:rsidRDefault="0048767E">
            <w:pPr>
              <w:spacing w:after="0"/>
            </w:pPr>
            <w:r>
              <w:rPr>
                <w:sz w:val="17"/>
              </w:rPr>
              <w:t>Ruth Miskin Training</w:t>
            </w:r>
          </w:p>
        </w:tc>
      </w:tr>
      <w:tr w:rsidR="00305781" w14:paraId="0E5FAFEA" w14:textId="77777777">
        <w:trPr>
          <w:jc w:val="center"/>
        </w:trPr>
        <w:tc>
          <w:tcPr>
            <w:tcW w:w="5184" w:type="dxa"/>
            <w:shd w:val="clear" w:color="auto" w:fill="F4F7FA"/>
          </w:tcPr>
          <w:p w14:paraId="43246844" w14:textId="77777777" w:rsidR="00305781" w:rsidRDefault="0048767E">
            <w:pPr>
              <w:spacing w:after="0"/>
            </w:pPr>
            <w:r>
              <w:rPr>
                <w:sz w:val="17"/>
              </w:rPr>
              <w:t>MyHappyMind</w:t>
            </w:r>
          </w:p>
        </w:tc>
        <w:tc>
          <w:tcPr>
            <w:tcW w:w="5184" w:type="dxa"/>
            <w:shd w:val="clear" w:color="auto" w:fill="F4F7FA"/>
          </w:tcPr>
          <w:p w14:paraId="66C0D2B1" w14:textId="77777777" w:rsidR="00305781" w:rsidRDefault="0048767E">
            <w:pPr>
              <w:spacing w:after="0"/>
            </w:pPr>
            <w:r>
              <w:rPr>
                <w:sz w:val="17"/>
              </w:rPr>
              <w:t>myHappymind</w:t>
            </w:r>
          </w:p>
        </w:tc>
      </w:tr>
      <w:tr w:rsidR="00305781" w14:paraId="4497CDEB" w14:textId="77777777">
        <w:trPr>
          <w:jc w:val="center"/>
        </w:trPr>
        <w:tc>
          <w:tcPr>
            <w:tcW w:w="5184" w:type="dxa"/>
          </w:tcPr>
          <w:p w14:paraId="07EC4ECC" w14:textId="77777777" w:rsidR="00305781" w:rsidRDefault="0048767E">
            <w:pPr>
              <w:spacing w:after="0"/>
            </w:pPr>
            <w:r>
              <w:rPr>
                <w:sz w:val="17"/>
              </w:rPr>
              <w:t>Other</w:t>
            </w:r>
          </w:p>
        </w:tc>
        <w:tc>
          <w:tcPr>
            <w:tcW w:w="5184" w:type="dxa"/>
          </w:tcPr>
          <w:p w14:paraId="0F9790B9" w14:textId="203DCFA1" w:rsidR="00305781" w:rsidRDefault="006335A8">
            <w:pPr>
              <w:spacing w:after="0"/>
            </w:pPr>
            <w:r>
              <w:t>OPAL</w:t>
            </w:r>
          </w:p>
        </w:tc>
      </w:tr>
    </w:tbl>
    <w:p w14:paraId="0EC37981" w14:textId="77777777" w:rsidR="00305781" w:rsidRDefault="0048767E">
      <w:pPr>
        <w:pStyle w:val="Heading2"/>
      </w:pPr>
      <w:r>
        <w:t>Service pupil premium funding (optional)</w:t>
      </w:r>
    </w:p>
    <w:p w14:paraId="7C190820" w14:textId="3986D3D0" w:rsidR="00305781" w:rsidRDefault="0048767E">
      <w:r w:rsidRPr="002F13C8">
        <w:rPr>
          <w:b/>
        </w:rPr>
        <w:t>‘Not applicable’.</w:t>
      </w:r>
    </w:p>
    <w:p w14:paraId="6759B1A7" w14:textId="77777777" w:rsidR="00305781" w:rsidRDefault="0048767E">
      <w:pPr>
        <w:pStyle w:val="Heading2"/>
      </w:pPr>
      <w:r>
        <w:t>Further information</w:t>
      </w:r>
    </w:p>
    <w:p w14:paraId="77014196" w14:textId="77777777" w:rsidR="00305781" w:rsidRDefault="0048767E">
      <w:r>
        <w:t>This strategy is complemented by activity funded from the school’s core budget and other grants, including whole-school curriculum development, safeguarding, SEND provision, staff professional development and quality assurance. Leaders will avoid double-counting expenditure and will ensure that pupil premium-funded activity is clearly attributable to the approaches set out in Part A.</w:t>
      </w:r>
    </w:p>
    <w:p w14:paraId="4BCA254F" w14:textId="670A81B8" w:rsidR="00305781" w:rsidRDefault="00305781"/>
    <w:sectPr w:rsidR="00305781" w:rsidSect="00034616">
      <w:footerReference w:type="default" r:id="rId8"/>
      <w:pgSz w:w="12240" w:h="15840"/>
      <w:pgMar w:top="864" w:right="936" w:bottom="864" w:left="936"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E954A0" w14:textId="77777777" w:rsidR="00610F1E" w:rsidRDefault="00610F1E">
      <w:pPr>
        <w:spacing w:after="0" w:line="240" w:lineRule="auto"/>
      </w:pPr>
      <w:r>
        <w:separator/>
      </w:r>
    </w:p>
  </w:endnote>
  <w:endnote w:type="continuationSeparator" w:id="0">
    <w:p w14:paraId="2EE24A03" w14:textId="77777777" w:rsidR="00610F1E" w:rsidRDefault="00610F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FF024" w14:textId="77777777" w:rsidR="00305781" w:rsidRDefault="0048767E">
    <w:pPr>
      <w:pStyle w:val="Footer"/>
      <w:jc w:val="center"/>
    </w:pPr>
    <w:r>
      <w:rPr>
        <w:color w:val="646464"/>
        <w:sz w:val="15"/>
      </w:rPr>
      <w:t>Templars Primary School | Pupil Premium Strategy 2026–2029 | Draft 2026–27 Statement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60825" w14:textId="77777777" w:rsidR="00610F1E" w:rsidRDefault="00610F1E">
      <w:pPr>
        <w:spacing w:after="0" w:line="240" w:lineRule="auto"/>
      </w:pPr>
      <w:r>
        <w:separator/>
      </w:r>
    </w:p>
  </w:footnote>
  <w:footnote w:type="continuationSeparator" w:id="0">
    <w:p w14:paraId="395B196E" w14:textId="77777777" w:rsidR="00610F1E" w:rsidRDefault="00610F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875966119">
    <w:abstractNumId w:val="8"/>
  </w:num>
  <w:num w:numId="2" w16cid:durableId="33773282">
    <w:abstractNumId w:val="6"/>
  </w:num>
  <w:num w:numId="3" w16cid:durableId="641934051">
    <w:abstractNumId w:val="5"/>
  </w:num>
  <w:num w:numId="4" w16cid:durableId="1176841114">
    <w:abstractNumId w:val="4"/>
  </w:num>
  <w:num w:numId="5" w16cid:durableId="1658731480">
    <w:abstractNumId w:val="7"/>
  </w:num>
  <w:num w:numId="6" w16cid:durableId="1624456376">
    <w:abstractNumId w:val="3"/>
  </w:num>
  <w:num w:numId="7" w16cid:durableId="1881550744">
    <w:abstractNumId w:val="2"/>
  </w:num>
  <w:num w:numId="8" w16cid:durableId="708915825">
    <w:abstractNumId w:val="1"/>
  </w:num>
  <w:num w:numId="9" w16cid:durableId="15481000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17C11"/>
    <w:rsid w:val="00034616"/>
    <w:rsid w:val="0006063C"/>
    <w:rsid w:val="001216A3"/>
    <w:rsid w:val="0015074B"/>
    <w:rsid w:val="0029639D"/>
    <w:rsid w:val="002F13C8"/>
    <w:rsid w:val="00305781"/>
    <w:rsid w:val="00321AE9"/>
    <w:rsid w:val="00326F90"/>
    <w:rsid w:val="003A6DD2"/>
    <w:rsid w:val="003D1410"/>
    <w:rsid w:val="004833D1"/>
    <w:rsid w:val="0048767E"/>
    <w:rsid w:val="004A5E12"/>
    <w:rsid w:val="00610F1E"/>
    <w:rsid w:val="006335A8"/>
    <w:rsid w:val="00650FD8"/>
    <w:rsid w:val="006E4717"/>
    <w:rsid w:val="00732A20"/>
    <w:rsid w:val="00813C9A"/>
    <w:rsid w:val="009E2122"/>
    <w:rsid w:val="00A51024"/>
    <w:rsid w:val="00AA1D8D"/>
    <w:rsid w:val="00B47730"/>
    <w:rsid w:val="00B85325"/>
    <w:rsid w:val="00CB0664"/>
    <w:rsid w:val="00E1481B"/>
    <w:rsid w:val="00EA0DB9"/>
    <w:rsid w:val="00EA403C"/>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04C5A63"/>
  <w14:defaultImageDpi w14:val="300"/>
  <w15:docId w15:val="{E370F5FE-D3D0-4FAF-8A23-40725202A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80"/>
    </w:pPr>
    <w:rPr>
      <w:rFonts w:ascii="Aptos" w:hAnsi="Aptos"/>
      <w:sz w:val="19"/>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1F4E79"/>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1F4E79"/>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1F4E79"/>
      <w:sz w:val="2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b/>
      <w:color w:val="1F4E79"/>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6</Pages>
  <Words>2616</Words>
  <Characters>14913</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17495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Kerri Davies</cp:lastModifiedBy>
  <cp:revision>18</cp:revision>
  <dcterms:created xsi:type="dcterms:W3CDTF">2026-08-31T10:57:00Z</dcterms:created>
  <dcterms:modified xsi:type="dcterms:W3CDTF">2026-09-03T15:07:00Z</dcterms:modified>
  <cp:category/>
</cp:coreProperties>
</file>