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97162" w14:textId="77777777" w:rsidR="00723B5C" w:rsidRDefault="00BD3A48">
      <w:pPr>
        <w:jc w:val="center"/>
      </w:pPr>
      <w:r>
        <w:rPr>
          <w:b/>
          <w:color w:val="1F4E79"/>
          <w:sz w:val="24"/>
        </w:rPr>
        <w:t>TEMPLARS PRIMARY SCHOOL</w:t>
      </w:r>
    </w:p>
    <w:p w14:paraId="040F6F68" w14:textId="77777777" w:rsidR="00723B5C" w:rsidRDefault="00BD3A48">
      <w:pPr>
        <w:pStyle w:val="Title"/>
        <w:jc w:val="center"/>
      </w:pPr>
      <w:r>
        <w:t>PE and Sport Premium</w:t>
      </w:r>
      <w:r>
        <w:br/>
        <w:t>Impact and Expenditure Report 2025–2026</w:t>
      </w:r>
    </w:p>
    <w:p w14:paraId="5F31A21A" w14:textId="77777777" w:rsidR="00723B5C" w:rsidRDefault="00BD3A48">
      <w:pPr>
        <w:jc w:val="center"/>
      </w:pPr>
      <w:r>
        <w:rPr>
          <w:b/>
        </w:rPr>
        <w:t>Every Child • Every Day • Every Chance</w:t>
      </w:r>
    </w:p>
    <w:p w14:paraId="0E249790" w14:textId="77777777" w:rsidR="00723B5C" w:rsidRDefault="00BD3A48">
      <w:r>
        <w:t>This report evaluates Templars Primary School’s use of the Primary PE and Sport Premium during the 2025–26 academic year. The premium is used to make additional and sustainable improvements to PE, sport and physical activity provision and to build capacity that will benefit current and future pupils.</w:t>
      </w:r>
    </w:p>
    <w:p w14:paraId="2CD73A2B" w14:textId="77777777" w:rsidR="00723B5C" w:rsidRDefault="00BD3A48">
      <w:pPr>
        <w:pStyle w:val="Heading1"/>
      </w:pPr>
      <w:r>
        <w:t>Funding overview</w:t>
      </w:r>
    </w:p>
    <w:tbl>
      <w:tblPr>
        <w:tblStyle w:val="TableGrid"/>
        <w:tblW w:w="0" w:type="auto"/>
        <w:jc w:val="center"/>
        <w:tblLook w:val="04A0" w:firstRow="1" w:lastRow="0" w:firstColumn="1" w:lastColumn="0" w:noHBand="0" w:noVBand="1"/>
      </w:tblPr>
      <w:tblGrid>
        <w:gridCol w:w="5179"/>
        <w:gridCol w:w="5179"/>
      </w:tblGrid>
      <w:tr w:rsidR="00723B5C" w14:paraId="730E78CE" w14:textId="77777777">
        <w:trPr>
          <w:jc w:val="center"/>
        </w:trPr>
        <w:tc>
          <w:tcPr>
            <w:tcW w:w="5184" w:type="dxa"/>
            <w:shd w:val="clear" w:color="auto" w:fill="1F4E79"/>
          </w:tcPr>
          <w:p w14:paraId="57DF48B4" w14:textId="77777777" w:rsidR="00723B5C" w:rsidRDefault="00BD3A48">
            <w:pPr>
              <w:spacing w:after="0"/>
            </w:pPr>
            <w:r>
              <w:rPr>
                <w:b/>
                <w:color w:val="FFFFFF"/>
                <w:sz w:val="17"/>
              </w:rPr>
              <w:t>Measure</w:t>
            </w:r>
          </w:p>
        </w:tc>
        <w:tc>
          <w:tcPr>
            <w:tcW w:w="5184" w:type="dxa"/>
            <w:shd w:val="clear" w:color="auto" w:fill="1F4E79"/>
          </w:tcPr>
          <w:p w14:paraId="2BF50D5D" w14:textId="59F7F131" w:rsidR="00723B5C" w:rsidRDefault="00BD3A48">
            <w:pPr>
              <w:spacing w:after="0"/>
            </w:pPr>
            <w:r>
              <w:rPr>
                <w:b/>
                <w:color w:val="FFFFFF"/>
                <w:sz w:val="17"/>
              </w:rPr>
              <w:t xml:space="preserve">2025–26 </w:t>
            </w:r>
          </w:p>
        </w:tc>
      </w:tr>
      <w:tr w:rsidR="00723B5C" w14:paraId="65589E08" w14:textId="77777777">
        <w:trPr>
          <w:jc w:val="center"/>
        </w:trPr>
        <w:tc>
          <w:tcPr>
            <w:tcW w:w="5184" w:type="dxa"/>
          </w:tcPr>
          <w:p w14:paraId="0D3D76BE" w14:textId="77777777" w:rsidR="00723B5C" w:rsidRDefault="00BD3A48">
            <w:pPr>
              <w:spacing w:after="0"/>
            </w:pPr>
            <w:r>
              <w:rPr>
                <w:sz w:val="17"/>
              </w:rPr>
              <w:t>PE and Sport Premium allocation received</w:t>
            </w:r>
          </w:p>
        </w:tc>
        <w:tc>
          <w:tcPr>
            <w:tcW w:w="5184" w:type="dxa"/>
          </w:tcPr>
          <w:p w14:paraId="0A010CE7" w14:textId="15DE801D" w:rsidR="00723B5C" w:rsidRDefault="00BD3A48">
            <w:pPr>
              <w:spacing w:after="0"/>
            </w:pPr>
            <w:r>
              <w:rPr>
                <w:sz w:val="17"/>
              </w:rPr>
              <w:t>£</w:t>
            </w:r>
            <w:r w:rsidR="00FF4AF7">
              <w:rPr>
                <w:sz w:val="17"/>
              </w:rPr>
              <w:t>21,330</w:t>
            </w:r>
          </w:p>
        </w:tc>
      </w:tr>
      <w:tr w:rsidR="00723B5C" w14:paraId="1A824D02" w14:textId="77777777">
        <w:trPr>
          <w:jc w:val="center"/>
        </w:trPr>
        <w:tc>
          <w:tcPr>
            <w:tcW w:w="5184" w:type="dxa"/>
            <w:shd w:val="clear" w:color="auto" w:fill="F4F7FA"/>
          </w:tcPr>
          <w:p w14:paraId="13B387E1" w14:textId="77777777" w:rsidR="00723B5C" w:rsidRDefault="00BD3A48">
            <w:pPr>
              <w:spacing w:after="0"/>
            </w:pPr>
            <w:r>
              <w:rPr>
                <w:sz w:val="17"/>
              </w:rPr>
              <w:t>Total school expenditure on the PE, sport and physical activity activity described in this report</w:t>
            </w:r>
          </w:p>
        </w:tc>
        <w:tc>
          <w:tcPr>
            <w:tcW w:w="5184" w:type="dxa"/>
            <w:shd w:val="clear" w:color="auto" w:fill="F4F7FA"/>
          </w:tcPr>
          <w:p w14:paraId="69707696" w14:textId="066464CD" w:rsidR="00723B5C" w:rsidRDefault="001C4239">
            <w:pPr>
              <w:spacing w:after="0"/>
            </w:pPr>
            <w:r>
              <w:t>£21,398</w:t>
            </w:r>
          </w:p>
        </w:tc>
      </w:tr>
      <w:tr w:rsidR="00723B5C" w14:paraId="20392773" w14:textId="77777777">
        <w:trPr>
          <w:jc w:val="center"/>
        </w:trPr>
        <w:tc>
          <w:tcPr>
            <w:tcW w:w="5184" w:type="dxa"/>
          </w:tcPr>
          <w:p w14:paraId="13D10A84" w14:textId="77777777" w:rsidR="00723B5C" w:rsidRDefault="00BD3A48">
            <w:pPr>
              <w:spacing w:after="0"/>
            </w:pPr>
            <w:r>
              <w:rPr>
                <w:sz w:val="17"/>
              </w:rPr>
              <w:t>Amount of PE and Sport Premium unspent / carried forward</w:t>
            </w:r>
          </w:p>
        </w:tc>
        <w:tc>
          <w:tcPr>
            <w:tcW w:w="5184" w:type="dxa"/>
          </w:tcPr>
          <w:p w14:paraId="558D13B0" w14:textId="77777777" w:rsidR="00723B5C" w:rsidRDefault="00BD3A48">
            <w:pPr>
              <w:spacing w:after="0"/>
            </w:pPr>
            <w:r>
              <w:rPr>
                <w:sz w:val="17"/>
              </w:rPr>
              <w:t>£0 – no premium funding carried forward</w:t>
            </w:r>
          </w:p>
        </w:tc>
      </w:tr>
      <w:tr w:rsidR="00723B5C" w14:paraId="16733989" w14:textId="77777777">
        <w:trPr>
          <w:jc w:val="center"/>
        </w:trPr>
        <w:tc>
          <w:tcPr>
            <w:tcW w:w="5184" w:type="dxa"/>
            <w:shd w:val="clear" w:color="auto" w:fill="F4F7FA"/>
          </w:tcPr>
          <w:p w14:paraId="4BAB1874" w14:textId="77777777" w:rsidR="00723B5C" w:rsidRDefault="00BD3A48">
            <w:pPr>
              <w:spacing w:after="0"/>
            </w:pPr>
            <w:r>
              <w:rPr>
                <w:sz w:val="17"/>
              </w:rPr>
              <w:t>School contribution beyond the premium allocation</w:t>
            </w:r>
          </w:p>
        </w:tc>
        <w:tc>
          <w:tcPr>
            <w:tcW w:w="5184" w:type="dxa"/>
            <w:shd w:val="clear" w:color="auto" w:fill="F4F7FA"/>
          </w:tcPr>
          <w:p w14:paraId="7DD60463" w14:textId="4B67E6D2" w:rsidR="00723B5C" w:rsidRDefault="00BD3A48">
            <w:pPr>
              <w:spacing w:after="0"/>
            </w:pPr>
            <w:r>
              <w:rPr>
                <w:sz w:val="17"/>
              </w:rPr>
              <w:t>£</w:t>
            </w:r>
            <w:r w:rsidR="003C2495">
              <w:rPr>
                <w:sz w:val="17"/>
              </w:rPr>
              <w:t>68</w:t>
            </w:r>
          </w:p>
        </w:tc>
      </w:tr>
    </w:tbl>
    <w:p w14:paraId="5D730214" w14:textId="24E46C2B" w:rsidR="00723B5C" w:rsidRDefault="00BD3A48">
      <w:r>
        <w:t>The £</w:t>
      </w:r>
      <w:r w:rsidR="003C2495">
        <w:t xml:space="preserve">21,398 </w:t>
      </w:r>
      <w:r>
        <w:t>figure represents the school’s total expenditure on the provision described. The statutory PE and Sport Premium allocation itself was £</w:t>
      </w:r>
      <w:r w:rsidR="003C2495">
        <w:t xml:space="preserve">21,330 </w:t>
      </w:r>
      <w:r>
        <w:t>and was fully spent. Templars therefore contributed an additional £</w:t>
      </w:r>
      <w:r w:rsidR="003C2495">
        <w:t xml:space="preserve">68 </w:t>
      </w:r>
      <w:r>
        <w:t>from other school funding.</w:t>
      </w:r>
    </w:p>
    <w:p w14:paraId="202393C8" w14:textId="77777777" w:rsidR="00723B5C" w:rsidRDefault="00BD3A48">
      <w:pPr>
        <w:pStyle w:val="Heading1"/>
      </w:pPr>
      <w:r>
        <w:t>School vision and strategic intent</w:t>
      </w:r>
    </w:p>
    <w:p w14:paraId="0FE92352" w14:textId="77777777" w:rsidR="00723B5C" w:rsidRDefault="00BD3A48">
      <w:r>
        <w:t>At Templars Primary School, PE, sport, play and outdoor learning contribute to pupils’ physical development, wellbeing, resilience, teamwork, confidence and sense of belonging. We aim for all pupils, including those who are disadvantaged, have SEND or are less confident or active, to have equitable access to high-quality physical activity and wider sporting opportunities.</w:t>
      </w:r>
    </w:p>
    <w:p w14:paraId="7DFCB516" w14:textId="77777777" w:rsidR="00723B5C" w:rsidRDefault="00BD3A48">
      <w:r>
        <w:t>During 2025–26, leaders focused on improving staff expertise, increasing regular physical activity, raising the profile of PE and sport, broadening pupils’ experiences and increasing participation in competitive sport. Sustainability has been considered through staff development, embedded provision, retained resources and the development of a whole-school culture of physical activity.</w:t>
      </w:r>
    </w:p>
    <w:p w14:paraId="62BC04F3" w14:textId="77777777" w:rsidR="00723B5C" w:rsidRDefault="00BD3A48">
      <w:pPr>
        <w:pStyle w:val="Heading1"/>
      </w:pPr>
      <w:r>
        <w:t>Impact against the five key indicators</w:t>
      </w:r>
    </w:p>
    <w:tbl>
      <w:tblPr>
        <w:tblStyle w:val="TableGrid"/>
        <w:tblW w:w="0" w:type="auto"/>
        <w:jc w:val="center"/>
        <w:tblLook w:val="04A0" w:firstRow="1" w:lastRow="0" w:firstColumn="1" w:lastColumn="0" w:noHBand="0" w:noVBand="1"/>
      </w:tblPr>
      <w:tblGrid>
        <w:gridCol w:w="3452"/>
        <w:gridCol w:w="3453"/>
        <w:gridCol w:w="3453"/>
      </w:tblGrid>
      <w:tr w:rsidR="00723B5C" w14:paraId="7E99F821" w14:textId="77777777">
        <w:trPr>
          <w:jc w:val="center"/>
        </w:trPr>
        <w:tc>
          <w:tcPr>
            <w:tcW w:w="3456" w:type="dxa"/>
            <w:shd w:val="clear" w:color="auto" w:fill="1F4E79"/>
          </w:tcPr>
          <w:p w14:paraId="6216D723" w14:textId="77777777" w:rsidR="00723B5C" w:rsidRDefault="00BD3A48">
            <w:pPr>
              <w:spacing w:after="0"/>
            </w:pPr>
            <w:r>
              <w:rPr>
                <w:b/>
                <w:color w:val="FFFFFF"/>
                <w:sz w:val="15"/>
              </w:rPr>
              <w:t>Key indicator</w:t>
            </w:r>
          </w:p>
        </w:tc>
        <w:tc>
          <w:tcPr>
            <w:tcW w:w="3456" w:type="dxa"/>
            <w:shd w:val="clear" w:color="auto" w:fill="1F4E79"/>
          </w:tcPr>
          <w:p w14:paraId="21483308" w14:textId="77777777" w:rsidR="00723B5C" w:rsidRDefault="00BD3A48">
            <w:pPr>
              <w:spacing w:after="0"/>
            </w:pPr>
            <w:r>
              <w:rPr>
                <w:b/>
                <w:color w:val="FFFFFF"/>
                <w:sz w:val="15"/>
              </w:rPr>
              <w:t>2025–26 impact</w:t>
            </w:r>
          </w:p>
        </w:tc>
        <w:tc>
          <w:tcPr>
            <w:tcW w:w="3456" w:type="dxa"/>
            <w:shd w:val="clear" w:color="auto" w:fill="1F4E79"/>
          </w:tcPr>
          <w:p w14:paraId="69DA8129" w14:textId="77777777" w:rsidR="00723B5C" w:rsidRDefault="00BD3A48">
            <w:pPr>
              <w:spacing w:after="0"/>
            </w:pPr>
            <w:r>
              <w:rPr>
                <w:b/>
                <w:color w:val="FFFFFF"/>
                <w:sz w:val="15"/>
              </w:rPr>
              <w:t>Sustainability / next step</w:t>
            </w:r>
          </w:p>
        </w:tc>
      </w:tr>
      <w:tr w:rsidR="00723B5C" w14:paraId="174179CC" w14:textId="77777777">
        <w:trPr>
          <w:jc w:val="center"/>
        </w:trPr>
        <w:tc>
          <w:tcPr>
            <w:tcW w:w="3456" w:type="dxa"/>
          </w:tcPr>
          <w:p w14:paraId="73D0FBF4" w14:textId="77777777" w:rsidR="00723B5C" w:rsidRDefault="00BD3A48">
            <w:pPr>
              <w:spacing w:after="0"/>
            </w:pPr>
            <w:r>
              <w:rPr>
                <w:sz w:val="15"/>
              </w:rPr>
              <w:t>1. Increased confidence, knowledge and skills of staff</w:t>
            </w:r>
          </w:p>
        </w:tc>
        <w:tc>
          <w:tcPr>
            <w:tcW w:w="3456" w:type="dxa"/>
          </w:tcPr>
          <w:p w14:paraId="335EA41F" w14:textId="77777777" w:rsidR="00723B5C" w:rsidRDefault="00BD3A48">
            <w:pPr>
              <w:spacing w:after="0"/>
            </w:pPr>
            <w:r>
              <w:rPr>
                <w:sz w:val="15"/>
              </w:rPr>
              <w:t>Forest School provision and external PE CPD supported staff knowledge, confidence and the quality of outdoor/physical learning. Curriculum monitoring, learning walks and staff feedback were used to review implementation.</w:t>
            </w:r>
          </w:p>
        </w:tc>
        <w:tc>
          <w:tcPr>
            <w:tcW w:w="3456" w:type="dxa"/>
          </w:tcPr>
          <w:p w14:paraId="50CB0311" w14:textId="77777777" w:rsidR="00723B5C" w:rsidRDefault="00BD3A48">
            <w:pPr>
              <w:spacing w:after="0"/>
            </w:pPr>
            <w:r>
              <w:rPr>
                <w:sz w:val="15"/>
              </w:rPr>
              <w:t>Staff expertise and confidence are developed within the school rather than relying solely on one-off pupil experiences. Continued CPD and curriculum monitoring will sustain and refine practice.</w:t>
            </w:r>
          </w:p>
        </w:tc>
      </w:tr>
      <w:tr w:rsidR="00723B5C" w14:paraId="5B93CE18" w14:textId="77777777">
        <w:trPr>
          <w:jc w:val="center"/>
        </w:trPr>
        <w:tc>
          <w:tcPr>
            <w:tcW w:w="3456" w:type="dxa"/>
            <w:shd w:val="clear" w:color="auto" w:fill="F4F7FA"/>
          </w:tcPr>
          <w:p w14:paraId="45EA39B0" w14:textId="77777777" w:rsidR="00723B5C" w:rsidRDefault="00BD3A48">
            <w:pPr>
              <w:spacing w:after="0"/>
            </w:pPr>
            <w:r>
              <w:rPr>
                <w:sz w:val="15"/>
              </w:rPr>
              <w:t>2. Engagement of all pupils in regular physical activity</w:t>
            </w:r>
          </w:p>
        </w:tc>
        <w:tc>
          <w:tcPr>
            <w:tcW w:w="3456" w:type="dxa"/>
            <w:shd w:val="clear" w:color="auto" w:fill="F4F7FA"/>
          </w:tcPr>
          <w:p w14:paraId="45B3DFB7" w14:textId="77777777" w:rsidR="00723B5C" w:rsidRDefault="00BD3A48">
            <w:pPr>
              <w:spacing w:after="0"/>
            </w:pPr>
            <w:r>
              <w:rPr>
                <w:sz w:val="15"/>
              </w:rPr>
              <w:t>Extra-curricular clubs, Forest School, active travel work, OPAL/play and wider physical opportunities increased the range of ways pupils could be active beyond formal PE lessons. Inclusive and adapted participation was prioritised for vulnerable and less-active pupils.</w:t>
            </w:r>
          </w:p>
        </w:tc>
        <w:tc>
          <w:tcPr>
            <w:tcW w:w="3456" w:type="dxa"/>
            <w:shd w:val="clear" w:color="auto" w:fill="F4F7FA"/>
          </w:tcPr>
          <w:p w14:paraId="209A53F6" w14:textId="77777777" w:rsidR="00723B5C" w:rsidRDefault="00BD3A48">
            <w:pPr>
              <w:spacing w:after="0"/>
            </w:pPr>
            <w:r>
              <w:rPr>
                <w:sz w:val="15"/>
              </w:rPr>
              <w:t>Active opportunities are increasingly embedded within school routines, play and wider provision. From September 2026, participation will be tracked more systematically by pupil group.</w:t>
            </w:r>
          </w:p>
        </w:tc>
      </w:tr>
      <w:tr w:rsidR="00723B5C" w14:paraId="2A7F2AA3" w14:textId="77777777">
        <w:trPr>
          <w:jc w:val="center"/>
        </w:trPr>
        <w:tc>
          <w:tcPr>
            <w:tcW w:w="3456" w:type="dxa"/>
          </w:tcPr>
          <w:p w14:paraId="505664BB" w14:textId="77777777" w:rsidR="00723B5C" w:rsidRDefault="00BD3A48">
            <w:pPr>
              <w:spacing w:after="0"/>
            </w:pPr>
            <w:r>
              <w:rPr>
                <w:sz w:val="15"/>
              </w:rPr>
              <w:t>3. Profile of PE and sport raised across school</w:t>
            </w:r>
          </w:p>
        </w:tc>
        <w:tc>
          <w:tcPr>
            <w:tcW w:w="3456" w:type="dxa"/>
          </w:tcPr>
          <w:p w14:paraId="1D6336FF" w14:textId="77777777" w:rsidR="00723B5C" w:rsidRDefault="00BD3A48">
            <w:pPr>
              <w:spacing w:after="0"/>
            </w:pPr>
            <w:r>
              <w:rPr>
                <w:sz w:val="15"/>
              </w:rPr>
              <w:t>Competitions, sporting events, celebration of pupil achievement and the wider emphasis on active lifestyles strengthened the visibility of PE and sport within school culture.</w:t>
            </w:r>
          </w:p>
        </w:tc>
        <w:tc>
          <w:tcPr>
            <w:tcW w:w="3456" w:type="dxa"/>
          </w:tcPr>
          <w:p w14:paraId="02419F0B" w14:textId="77777777" w:rsidR="00723B5C" w:rsidRDefault="00BD3A48">
            <w:pPr>
              <w:spacing w:after="0"/>
            </w:pPr>
            <w:r>
              <w:rPr>
                <w:sz w:val="15"/>
              </w:rPr>
              <w:t>An annual programme of opportunities and celebration will continue, with stronger recording of reach and participation from 2026–27.</w:t>
            </w:r>
          </w:p>
        </w:tc>
      </w:tr>
      <w:tr w:rsidR="00723B5C" w14:paraId="3D621987" w14:textId="77777777">
        <w:trPr>
          <w:jc w:val="center"/>
        </w:trPr>
        <w:tc>
          <w:tcPr>
            <w:tcW w:w="3456" w:type="dxa"/>
            <w:shd w:val="clear" w:color="auto" w:fill="F4F7FA"/>
          </w:tcPr>
          <w:p w14:paraId="6B936730" w14:textId="77777777" w:rsidR="00723B5C" w:rsidRDefault="00BD3A48">
            <w:pPr>
              <w:spacing w:after="0"/>
            </w:pPr>
            <w:r>
              <w:rPr>
                <w:sz w:val="15"/>
              </w:rPr>
              <w:t>4. Broader experience of sports and physical activities</w:t>
            </w:r>
          </w:p>
        </w:tc>
        <w:tc>
          <w:tcPr>
            <w:tcW w:w="3456" w:type="dxa"/>
            <w:shd w:val="clear" w:color="auto" w:fill="F4F7FA"/>
          </w:tcPr>
          <w:p w14:paraId="10EA8138" w14:textId="77777777" w:rsidR="00723B5C" w:rsidRDefault="00BD3A48">
            <w:pPr>
              <w:spacing w:after="0"/>
            </w:pPr>
            <w:r>
              <w:rPr>
                <w:sz w:val="15"/>
              </w:rPr>
              <w:t>Pupils accessed outdoor learning, Forest School, swimming and a wider range of activities supported by additional resources and equipment. Provision supported physical literacy, confidence, teamwork and wellbeing.</w:t>
            </w:r>
          </w:p>
        </w:tc>
        <w:tc>
          <w:tcPr>
            <w:tcW w:w="3456" w:type="dxa"/>
            <w:shd w:val="clear" w:color="auto" w:fill="F4F7FA"/>
          </w:tcPr>
          <w:p w14:paraId="0F6C00A9" w14:textId="77777777" w:rsidR="00723B5C" w:rsidRDefault="00BD3A48">
            <w:pPr>
              <w:spacing w:after="0"/>
            </w:pPr>
            <w:r>
              <w:rPr>
                <w:sz w:val="15"/>
              </w:rPr>
              <w:t>Resources remain available for future cohorts and outdoor/physical activity is integrated within wider school provision. Future evaluation will identify which groups access different opportunities.</w:t>
            </w:r>
          </w:p>
        </w:tc>
      </w:tr>
      <w:tr w:rsidR="00723B5C" w14:paraId="53F6DE60" w14:textId="77777777">
        <w:trPr>
          <w:jc w:val="center"/>
        </w:trPr>
        <w:tc>
          <w:tcPr>
            <w:tcW w:w="3456" w:type="dxa"/>
          </w:tcPr>
          <w:p w14:paraId="777A2A7A" w14:textId="77777777" w:rsidR="00723B5C" w:rsidRDefault="00BD3A48">
            <w:pPr>
              <w:spacing w:after="0"/>
            </w:pPr>
            <w:r>
              <w:rPr>
                <w:sz w:val="15"/>
              </w:rPr>
              <w:t>5. Increased participation in competitive sport</w:t>
            </w:r>
          </w:p>
        </w:tc>
        <w:tc>
          <w:tcPr>
            <w:tcW w:w="3456" w:type="dxa"/>
          </w:tcPr>
          <w:p w14:paraId="24BC93BE" w14:textId="77777777" w:rsidR="00723B5C" w:rsidRDefault="00BD3A48">
            <w:pPr>
              <w:spacing w:after="0"/>
            </w:pPr>
            <w:r>
              <w:rPr>
                <w:sz w:val="15"/>
              </w:rPr>
              <w:t xml:space="preserve">Transport, entry and participation in inter-school competitions and festivals enabled pupils to represent Templars and experience competition, </w:t>
            </w:r>
            <w:r>
              <w:rPr>
                <w:sz w:val="15"/>
              </w:rPr>
              <w:lastRenderedPageBreak/>
              <w:t>teamwork and resilience. Opportunities were intended to include younger and less-experienced pupils as well as established participants.</w:t>
            </w:r>
          </w:p>
        </w:tc>
        <w:tc>
          <w:tcPr>
            <w:tcW w:w="3456" w:type="dxa"/>
          </w:tcPr>
          <w:p w14:paraId="717C9897" w14:textId="77777777" w:rsidR="00723B5C" w:rsidRDefault="00BD3A48">
            <w:pPr>
              <w:spacing w:after="0"/>
            </w:pPr>
            <w:r>
              <w:rPr>
                <w:sz w:val="15"/>
              </w:rPr>
              <w:lastRenderedPageBreak/>
              <w:t xml:space="preserve">Competitive opportunities will remain part of the school calendar. From September 2026, leaders will record the number of events and unique </w:t>
            </w:r>
            <w:r>
              <w:rPr>
                <w:sz w:val="15"/>
              </w:rPr>
              <w:lastRenderedPageBreak/>
              <w:t>pupils participating, including disadvantaged and SEND pupils.</w:t>
            </w:r>
          </w:p>
        </w:tc>
      </w:tr>
    </w:tbl>
    <w:p w14:paraId="40BDFD17" w14:textId="77777777" w:rsidR="00723B5C" w:rsidRDefault="00BD3A48">
      <w:pPr>
        <w:pStyle w:val="Heading1"/>
      </w:pPr>
      <w:r>
        <w:lastRenderedPageBreak/>
        <w:t>Inclusion and wider impact</w:t>
      </w:r>
    </w:p>
    <w:p w14:paraId="01688712" w14:textId="77777777" w:rsidR="00031CAD" w:rsidRPr="00031CAD" w:rsidRDefault="00031CAD" w:rsidP="00031CAD">
      <w:pPr>
        <w:pStyle w:val="pdq2pgselectionanchorcontainer"/>
        <w:rPr>
          <w:rFonts w:ascii="Aptos" w:hAnsi="Aptos"/>
          <w:sz w:val="19"/>
          <w:szCs w:val="19"/>
        </w:rPr>
      </w:pPr>
      <w:r w:rsidRPr="00031CAD">
        <w:rPr>
          <w:rFonts w:ascii="Aptos" w:hAnsi="Aptos"/>
          <w:sz w:val="19"/>
          <w:szCs w:val="19"/>
        </w:rPr>
        <w:t>Templars is committed to ensuring that SEND, disadvantage, physical ability, confidence or background do not create barriers to participation in physical activity, PE and sport. During 2025–26, leaders monitored access to opportunities and deliberately provided a broad and inclusive range of experiences designed to support physical development, confidence, wellbeing, regulation and belonging.</w:t>
      </w:r>
    </w:p>
    <w:p w14:paraId="22127B6F" w14:textId="77777777" w:rsidR="00031CAD" w:rsidRPr="00031CAD" w:rsidRDefault="00031CAD" w:rsidP="00031CAD">
      <w:pPr>
        <w:pStyle w:val="NormalWeb"/>
        <w:rPr>
          <w:rFonts w:ascii="Aptos" w:hAnsi="Aptos"/>
          <w:sz w:val="19"/>
          <w:szCs w:val="19"/>
        </w:rPr>
      </w:pPr>
      <w:r w:rsidRPr="00031CAD">
        <w:rPr>
          <w:rStyle w:val="Strong"/>
          <w:rFonts w:ascii="Aptos" w:hAnsi="Aptos"/>
          <w:sz w:val="19"/>
          <w:szCs w:val="19"/>
        </w:rPr>
        <w:t>All pupils accessed Forest School</w:t>
      </w:r>
      <w:r w:rsidRPr="00031CAD">
        <w:rPr>
          <w:rFonts w:ascii="Aptos" w:hAnsi="Aptos"/>
          <w:sz w:val="19"/>
          <w:szCs w:val="19"/>
        </w:rPr>
        <w:t xml:space="preserve">, with every class receiving a minimum of three sessions during the year. Wider opportunities included </w:t>
      </w:r>
      <w:r w:rsidRPr="00031CAD">
        <w:rPr>
          <w:rStyle w:val="Strong"/>
          <w:rFonts w:ascii="Aptos" w:hAnsi="Aptos"/>
          <w:sz w:val="19"/>
          <w:szCs w:val="19"/>
        </w:rPr>
        <w:t>HADO competitions, football matches, Sport for All through COMPASS, tennis and Year 6 rugby coaching</w:t>
      </w:r>
      <w:r w:rsidRPr="00031CAD">
        <w:rPr>
          <w:rFonts w:ascii="Aptos" w:hAnsi="Aptos"/>
          <w:sz w:val="19"/>
          <w:szCs w:val="19"/>
        </w:rPr>
        <w:t>, alongside other sporting and physical activity opportunities across the school.</w:t>
      </w:r>
    </w:p>
    <w:p w14:paraId="3A160627" w14:textId="77777777" w:rsidR="00031CAD" w:rsidRPr="00031CAD" w:rsidRDefault="00031CAD" w:rsidP="00031CAD">
      <w:pPr>
        <w:pStyle w:val="NormalWeb"/>
        <w:rPr>
          <w:rFonts w:ascii="Aptos" w:hAnsi="Aptos"/>
          <w:sz w:val="19"/>
          <w:szCs w:val="19"/>
        </w:rPr>
      </w:pPr>
      <w:r w:rsidRPr="00031CAD">
        <w:rPr>
          <w:rFonts w:ascii="Aptos" w:hAnsi="Aptos"/>
          <w:sz w:val="19"/>
          <w:szCs w:val="19"/>
        </w:rPr>
        <w:t xml:space="preserve">Leaders also responded to individual need to improve access and participation. Year 6 pupils who could already swim were offered a </w:t>
      </w:r>
      <w:r w:rsidRPr="00031CAD">
        <w:rPr>
          <w:rStyle w:val="Strong"/>
          <w:rFonts w:ascii="Aptos" w:hAnsi="Aptos"/>
          <w:sz w:val="19"/>
          <w:szCs w:val="19"/>
        </w:rPr>
        <w:t>wild swimming experience</w:t>
      </w:r>
      <w:r w:rsidRPr="00031CAD">
        <w:rPr>
          <w:rFonts w:ascii="Aptos" w:hAnsi="Aptos"/>
          <w:sz w:val="19"/>
          <w:szCs w:val="19"/>
        </w:rPr>
        <w:t xml:space="preserve">, extending their confidence and experience in a different water environment. Importantly, </w:t>
      </w:r>
      <w:r w:rsidRPr="00031CAD">
        <w:rPr>
          <w:rStyle w:val="Strong"/>
          <w:rFonts w:ascii="Aptos" w:hAnsi="Aptos"/>
          <w:sz w:val="19"/>
          <w:szCs w:val="19"/>
        </w:rPr>
        <w:t>six Year 6 pupils who were unable to swim received weekly swimming lessons, funded by the school for two terms</w:t>
      </w:r>
      <w:r w:rsidRPr="00031CAD">
        <w:rPr>
          <w:rFonts w:ascii="Aptos" w:hAnsi="Aptos"/>
          <w:sz w:val="19"/>
          <w:szCs w:val="19"/>
        </w:rPr>
        <w:t>, demonstrating the school's commitment to removing barriers and developing essential water confidence and safety skills.</w:t>
      </w:r>
    </w:p>
    <w:p w14:paraId="79F6C751" w14:textId="77777777" w:rsidR="00031CAD" w:rsidRPr="00031CAD" w:rsidRDefault="00031CAD" w:rsidP="00031CAD">
      <w:pPr>
        <w:pStyle w:val="NormalWeb"/>
        <w:rPr>
          <w:rFonts w:ascii="Aptos" w:hAnsi="Aptos"/>
          <w:sz w:val="19"/>
          <w:szCs w:val="19"/>
        </w:rPr>
      </w:pPr>
      <w:r w:rsidRPr="00031CAD">
        <w:rPr>
          <w:rFonts w:ascii="Aptos" w:hAnsi="Aptos"/>
          <w:sz w:val="19"/>
          <w:szCs w:val="19"/>
        </w:rPr>
        <w:t>Provision was adapted and targeted where appropriate so that pupils with SEND, disadvantaged pupils and those who were less confident or less physically active could participate successfully. Opportunities through competitions, clubs, outdoor learning and wider physical activity contributed to pupils' teamwork, resilience, confidence and sense of belonging.</w:t>
      </w:r>
    </w:p>
    <w:p w14:paraId="4D0A73BD" w14:textId="0B7E63E3" w:rsidR="00031CAD" w:rsidRPr="000D662C" w:rsidRDefault="00031CAD" w:rsidP="000D662C">
      <w:pPr>
        <w:pStyle w:val="NormalWeb"/>
        <w:rPr>
          <w:rFonts w:ascii="Aptos" w:hAnsi="Aptos"/>
          <w:sz w:val="19"/>
          <w:szCs w:val="19"/>
        </w:rPr>
      </w:pPr>
      <w:r w:rsidRPr="00031CAD">
        <w:rPr>
          <w:rFonts w:ascii="Aptos" w:hAnsi="Aptos"/>
          <w:sz w:val="19"/>
          <w:szCs w:val="19"/>
        </w:rPr>
        <w:t xml:space="preserve">Monitoring during 2025–26 provided leaders with information about participation and access. </w:t>
      </w:r>
      <w:r w:rsidRPr="00031CAD">
        <w:rPr>
          <w:rStyle w:val="Strong"/>
          <w:rFonts w:ascii="Aptos" w:hAnsi="Aptos"/>
          <w:sz w:val="19"/>
          <w:szCs w:val="19"/>
        </w:rPr>
        <w:t>For 2026–27, the school will strengthen this further by introducing more systematic participation tracking</w:t>
      </w:r>
      <w:r w:rsidRPr="00031CAD">
        <w:rPr>
          <w:rFonts w:ascii="Aptos" w:hAnsi="Aptos"/>
          <w:sz w:val="19"/>
          <w:szCs w:val="19"/>
        </w:rPr>
        <w:t>, including the number of unique pupils accessing clubs, competitions and wider sporting opportunities and analysis by disadvantaged status, SEND and other relevant pupil groups. This will enable leaders to identify any under-representation more precisely and evaluate the impact of provision over time.</w:t>
      </w:r>
    </w:p>
    <w:p w14:paraId="6CC4E88C" w14:textId="77777777" w:rsidR="00723B5C" w:rsidRDefault="00BD3A48">
      <w:pPr>
        <w:pStyle w:val="Heading1"/>
      </w:pPr>
      <w:r>
        <w:t>Swimming and water safety</w:t>
      </w:r>
    </w:p>
    <w:p w14:paraId="591A28FC" w14:textId="77777777" w:rsidR="00723B5C" w:rsidRDefault="00BD3A48">
      <w:r>
        <w:t>The national curriculum requires pupils to be taught to swim competently, confidently and proficiently over at least 25 metres, use a range of strokes effectively and perform safe self-rescue in different water-based situations. The outcomes below relate to the 2025–26 Year 6 cohort.</w:t>
      </w:r>
    </w:p>
    <w:tbl>
      <w:tblPr>
        <w:tblStyle w:val="TableGrid"/>
        <w:tblW w:w="0" w:type="auto"/>
        <w:jc w:val="center"/>
        <w:tblLook w:val="04A0" w:firstRow="1" w:lastRow="0" w:firstColumn="1" w:lastColumn="0" w:noHBand="0" w:noVBand="1"/>
      </w:tblPr>
      <w:tblGrid>
        <w:gridCol w:w="5179"/>
        <w:gridCol w:w="5179"/>
      </w:tblGrid>
      <w:tr w:rsidR="00723B5C" w14:paraId="10CE6E3E" w14:textId="77777777">
        <w:trPr>
          <w:jc w:val="center"/>
        </w:trPr>
        <w:tc>
          <w:tcPr>
            <w:tcW w:w="5184" w:type="dxa"/>
            <w:shd w:val="clear" w:color="auto" w:fill="1F4E79"/>
          </w:tcPr>
          <w:p w14:paraId="5BA33B90" w14:textId="77777777" w:rsidR="00723B5C" w:rsidRDefault="00BD3A48">
            <w:pPr>
              <w:spacing w:after="0"/>
            </w:pPr>
            <w:r>
              <w:rPr>
                <w:b/>
                <w:color w:val="FFFFFF"/>
                <w:sz w:val="17"/>
              </w:rPr>
              <w:t>National curriculum swimming requirement</w:t>
            </w:r>
          </w:p>
        </w:tc>
        <w:tc>
          <w:tcPr>
            <w:tcW w:w="5184" w:type="dxa"/>
            <w:shd w:val="clear" w:color="auto" w:fill="1F4E79"/>
          </w:tcPr>
          <w:p w14:paraId="2030F25C" w14:textId="77777777" w:rsidR="00723B5C" w:rsidRDefault="00BD3A48">
            <w:pPr>
              <w:spacing w:after="0"/>
            </w:pPr>
            <w:r>
              <w:rPr>
                <w:b/>
                <w:color w:val="FFFFFF"/>
                <w:sz w:val="17"/>
              </w:rPr>
              <w:t>2025–26 Year 6 outcome</w:t>
            </w:r>
          </w:p>
        </w:tc>
      </w:tr>
      <w:tr w:rsidR="00723B5C" w14:paraId="4561A1F7" w14:textId="77777777">
        <w:trPr>
          <w:jc w:val="center"/>
        </w:trPr>
        <w:tc>
          <w:tcPr>
            <w:tcW w:w="5184" w:type="dxa"/>
          </w:tcPr>
          <w:p w14:paraId="5A680A8D" w14:textId="77777777" w:rsidR="00723B5C" w:rsidRDefault="00BD3A48">
            <w:pPr>
              <w:spacing w:after="0"/>
            </w:pPr>
            <w:r>
              <w:rPr>
                <w:sz w:val="17"/>
              </w:rPr>
              <w:t>Swim competently, confidently and proficiently over at least 25 metres</w:t>
            </w:r>
          </w:p>
        </w:tc>
        <w:tc>
          <w:tcPr>
            <w:tcW w:w="5184" w:type="dxa"/>
          </w:tcPr>
          <w:p w14:paraId="6469AEBE" w14:textId="77777777" w:rsidR="00723B5C" w:rsidRDefault="00BD3A48">
            <w:pPr>
              <w:spacing w:after="0"/>
            </w:pPr>
            <w:r>
              <w:rPr>
                <w:sz w:val="17"/>
              </w:rPr>
              <w:t>22%</w:t>
            </w:r>
          </w:p>
        </w:tc>
      </w:tr>
      <w:tr w:rsidR="00723B5C" w14:paraId="5F0583D7" w14:textId="77777777">
        <w:trPr>
          <w:jc w:val="center"/>
        </w:trPr>
        <w:tc>
          <w:tcPr>
            <w:tcW w:w="5184" w:type="dxa"/>
            <w:shd w:val="clear" w:color="auto" w:fill="F4F7FA"/>
          </w:tcPr>
          <w:p w14:paraId="4D8F4CA2" w14:textId="77777777" w:rsidR="00723B5C" w:rsidRDefault="00BD3A48">
            <w:pPr>
              <w:spacing w:after="0"/>
            </w:pPr>
            <w:r>
              <w:rPr>
                <w:sz w:val="17"/>
              </w:rPr>
              <w:t>Use a range of strokes effectively</w:t>
            </w:r>
          </w:p>
        </w:tc>
        <w:tc>
          <w:tcPr>
            <w:tcW w:w="5184" w:type="dxa"/>
            <w:shd w:val="clear" w:color="auto" w:fill="F4F7FA"/>
          </w:tcPr>
          <w:p w14:paraId="0D7BBCC5" w14:textId="77777777" w:rsidR="00723B5C" w:rsidRDefault="00BD3A48">
            <w:pPr>
              <w:spacing w:after="0"/>
            </w:pPr>
            <w:r>
              <w:rPr>
                <w:sz w:val="17"/>
              </w:rPr>
              <w:t>22%</w:t>
            </w:r>
          </w:p>
        </w:tc>
      </w:tr>
      <w:tr w:rsidR="00723B5C" w14:paraId="788569A4" w14:textId="77777777">
        <w:trPr>
          <w:jc w:val="center"/>
        </w:trPr>
        <w:tc>
          <w:tcPr>
            <w:tcW w:w="5184" w:type="dxa"/>
          </w:tcPr>
          <w:p w14:paraId="719FCABC" w14:textId="77777777" w:rsidR="00723B5C" w:rsidRDefault="00BD3A48">
            <w:pPr>
              <w:spacing w:after="0"/>
            </w:pPr>
            <w:r>
              <w:rPr>
                <w:sz w:val="17"/>
              </w:rPr>
              <w:t>Perform safe self-rescue in different water-based situations</w:t>
            </w:r>
          </w:p>
        </w:tc>
        <w:tc>
          <w:tcPr>
            <w:tcW w:w="5184" w:type="dxa"/>
          </w:tcPr>
          <w:p w14:paraId="1A318343" w14:textId="77777777" w:rsidR="00723B5C" w:rsidRDefault="00BD3A48">
            <w:pPr>
              <w:spacing w:after="0"/>
            </w:pPr>
            <w:r>
              <w:rPr>
                <w:sz w:val="17"/>
              </w:rPr>
              <w:t>22%</w:t>
            </w:r>
          </w:p>
        </w:tc>
      </w:tr>
    </w:tbl>
    <w:p w14:paraId="3132C3A5" w14:textId="77777777" w:rsidR="00723B5C" w:rsidRDefault="00BD3A48">
      <w:r>
        <w:t>These outcomes show that swimming and water safety remain a significant area for improvement. Leaders will review the timing, assessment and effectiveness of the core swimming programme and identify pupils who require additional top-up swimming and water-safety support after completion of core curriculum swimming.</w:t>
      </w:r>
    </w:p>
    <w:p w14:paraId="03886F94" w14:textId="77777777" w:rsidR="00723B5C" w:rsidRDefault="00BD3A48">
      <w:pPr>
        <w:pStyle w:val="Heading1"/>
      </w:pPr>
      <w:r>
        <w:t>Expenditure and compliance note</w:t>
      </w:r>
    </w:p>
    <w:p w14:paraId="242D440E" w14:textId="086848AA" w:rsidR="00723B5C" w:rsidRDefault="00BD3A48">
      <w:r>
        <w:t>The school’s previous strategy recorded planned expenditure across Forest School, CPD, active travel, competitions/transport, equipment, memberships and swimming. For statutory reporting, only eligible expenditure funded from the £21,</w:t>
      </w:r>
      <w:r w:rsidR="00371227">
        <w:t>330</w:t>
      </w:r>
      <w:r>
        <w:t xml:space="preserve"> PE and Sport Premium should be entered as grant expenditure in the DfE digital return. Core curriculum PE, core curriculum swimming, associated transport and general staffing costs must be funded from the school’s core budget rather than attributed to the premium.</w:t>
      </w:r>
    </w:p>
    <w:p w14:paraId="779884E8" w14:textId="52199CD5" w:rsidR="00723B5C" w:rsidRDefault="00BD3A48">
      <w:r>
        <w:rPr>
          <w:b/>
        </w:rPr>
        <w:t xml:space="preserve">Finance reconciliation required before the DfE return is submitted: </w:t>
      </w:r>
      <w:r>
        <w:t>allocate the £21,</w:t>
      </w:r>
      <w:r w:rsidR="00371227">
        <w:t>330</w:t>
      </w:r>
      <w:r>
        <w:t xml:space="preserve"> premium across the DfE reporting categories using the school’s actual ledger/invoices. The £</w:t>
      </w:r>
      <w:r w:rsidR="00371227">
        <w:t xml:space="preserve">21,398 </w:t>
      </w:r>
      <w:r>
        <w:t>total school spend should not be entered as PE and Sport Premium grant expenditure unless finance records demonstrate that each amount is eligible premium spend.</w:t>
      </w:r>
    </w:p>
    <w:p w14:paraId="312F9E7C" w14:textId="77777777" w:rsidR="00723B5C" w:rsidRDefault="00BD3A48">
      <w:pPr>
        <w:pStyle w:val="Heading1"/>
      </w:pPr>
      <w:r>
        <w:lastRenderedPageBreak/>
        <w:t>Evaluation and priorities for 2026–27</w:t>
      </w:r>
    </w:p>
    <w:p w14:paraId="0ADFCB99" w14:textId="77777777" w:rsidR="00723B5C" w:rsidRDefault="00BD3A48">
      <w:pPr>
        <w:pStyle w:val="ListBullet"/>
      </w:pPr>
      <w:r>
        <w:t>Introduce a consistent participation tracker for clubs, competitions and wider physical activity, recording unique pupils as well as total attendances.</w:t>
      </w:r>
    </w:p>
    <w:p w14:paraId="46926A2C" w14:textId="77777777" w:rsidR="00723B5C" w:rsidRDefault="00BD3A48">
      <w:pPr>
        <w:pStyle w:val="ListBullet"/>
      </w:pPr>
      <w:r>
        <w:t>Analyse participation by disadvantaged status, SEND, gender and pupils identified as less active so that gaps in access can be addressed.</w:t>
      </w:r>
    </w:p>
    <w:p w14:paraId="79FFFFA9" w14:textId="77777777" w:rsidR="00723B5C" w:rsidRDefault="00BD3A48">
      <w:pPr>
        <w:pStyle w:val="ListBullet"/>
      </w:pPr>
      <w:r>
        <w:t>Record the number and range of inter-school competitions/festivals and the pupils representing Templars.</w:t>
      </w:r>
    </w:p>
    <w:p w14:paraId="6CFFE2E3" w14:textId="77777777" w:rsidR="00723B5C" w:rsidRDefault="00BD3A48">
      <w:pPr>
        <w:pStyle w:val="ListBullet"/>
      </w:pPr>
      <w:r>
        <w:t>Continue targeted PE professional development and evaluate impact through staff confidence, curriculum monitoring and pupil experience.</w:t>
      </w:r>
    </w:p>
    <w:p w14:paraId="2FB01F45" w14:textId="77777777" w:rsidR="00723B5C" w:rsidRDefault="00BD3A48">
      <w:pPr>
        <w:pStyle w:val="ListBullet"/>
      </w:pPr>
      <w:r>
        <w:t>Maintain inclusive physical activity through PE, play/OPAL, outdoor learning and enrichment while clearly separating core-funded provision from eligible premium-funded enhancement.</w:t>
      </w:r>
    </w:p>
    <w:p w14:paraId="12AC56D6" w14:textId="77777777" w:rsidR="00723B5C" w:rsidRDefault="00BD3A48">
      <w:pPr>
        <w:pStyle w:val="ListBullet"/>
      </w:pPr>
      <w:r>
        <w:t>Prioritise swimming and water safety improvement in response to the 2025–26 Year 6 outcomes, including early assessment and appropriate top-up provision.</w:t>
      </w:r>
    </w:p>
    <w:p w14:paraId="788C0F21" w14:textId="77777777" w:rsidR="00723B5C" w:rsidRDefault="00BD3A48">
      <w:pPr>
        <w:pStyle w:val="ListBullet"/>
      </w:pPr>
      <w:r>
        <w:t>Report impact using measurable participation and attainment information alongside pupil voice, rather than relying on provision descriptions alone.</w:t>
      </w:r>
    </w:p>
    <w:p w14:paraId="302D5874" w14:textId="77777777" w:rsidR="00723B5C" w:rsidRDefault="00BD3A48">
      <w:pPr>
        <w:pStyle w:val="Heading1"/>
      </w:pPr>
      <w:r>
        <w:t>Monitoring</w:t>
      </w:r>
    </w:p>
    <w:tbl>
      <w:tblPr>
        <w:tblStyle w:val="TableGrid"/>
        <w:tblW w:w="0" w:type="auto"/>
        <w:jc w:val="center"/>
        <w:tblLook w:val="04A0" w:firstRow="1" w:lastRow="0" w:firstColumn="1" w:lastColumn="0" w:noHBand="0" w:noVBand="1"/>
      </w:tblPr>
      <w:tblGrid>
        <w:gridCol w:w="5179"/>
        <w:gridCol w:w="5179"/>
      </w:tblGrid>
      <w:tr w:rsidR="00723B5C" w14:paraId="2F1AA4FB" w14:textId="77777777">
        <w:trPr>
          <w:jc w:val="center"/>
        </w:trPr>
        <w:tc>
          <w:tcPr>
            <w:tcW w:w="5184" w:type="dxa"/>
            <w:shd w:val="clear" w:color="auto" w:fill="1F4E79"/>
          </w:tcPr>
          <w:p w14:paraId="56A73088" w14:textId="77777777" w:rsidR="00723B5C" w:rsidRDefault="00BD3A48">
            <w:pPr>
              <w:spacing w:after="0"/>
            </w:pPr>
            <w:r>
              <w:rPr>
                <w:b/>
                <w:color w:val="FFFFFF"/>
                <w:sz w:val="16"/>
              </w:rPr>
              <w:t>Monitoring activity</w:t>
            </w:r>
          </w:p>
        </w:tc>
        <w:tc>
          <w:tcPr>
            <w:tcW w:w="5184" w:type="dxa"/>
            <w:shd w:val="clear" w:color="auto" w:fill="1F4E79"/>
          </w:tcPr>
          <w:p w14:paraId="66FDBBCD" w14:textId="77777777" w:rsidR="00723B5C" w:rsidRDefault="00BD3A48">
            <w:pPr>
              <w:spacing w:after="0"/>
            </w:pPr>
            <w:r>
              <w:rPr>
                <w:b/>
                <w:color w:val="FFFFFF"/>
                <w:sz w:val="16"/>
              </w:rPr>
              <w:t>Frequency / purpose</w:t>
            </w:r>
          </w:p>
        </w:tc>
      </w:tr>
      <w:tr w:rsidR="00723B5C" w14:paraId="6D8D62AD" w14:textId="77777777">
        <w:trPr>
          <w:jc w:val="center"/>
        </w:trPr>
        <w:tc>
          <w:tcPr>
            <w:tcW w:w="5184" w:type="dxa"/>
          </w:tcPr>
          <w:p w14:paraId="2C37EE2D" w14:textId="77777777" w:rsidR="00723B5C" w:rsidRDefault="00BD3A48">
            <w:pPr>
              <w:spacing w:after="0"/>
            </w:pPr>
            <w:r>
              <w:rPr>
                <w:sz w:val="16"/>
              </w:rPr>
              <w:t>PE curriculum monitoring and learning walks</w:t>
            </w:r>
          </w:p>
        </w:tc>
        <w:tc>
          <w:tcPr>
            <w:tcW w:w="5184" w:type="dxa"/>
          </w:tcPr>
          <w:p w14:paraId="78B908A4" w14:textId="77777777" w:rsidR="00723B5C" w:rsidRDefault="00BD3A48">
            <w:pPr>
              <w:spacing w:after="0"/>
            </w:pPr>
            <w:r>
              <w:rPr>
                <w:sz w:val="16"/>
              </w:rPr>
              <w:t>Termly – quality, consistency and staff development</w:t>
            </w:r>
          </w:p>
        </w:tc>
      </w:tr>
      <w:tr w:rsidR="00723B5C" w14:paraId="17A2D274" w14:textId="77777777">
        <w:trPr>
          <w:jc w:val="center"/>
        </w:trPr>
        <w:tc>
          <w:tcPr>
            <w:tcW w:w="5184" w:type="dxa"/>
            <w:shd w:val="clear" w:color="auto" w:fill="F4F7FA"/>
          </w:tcPr>
          <w:p w14:paraId="640F84A6" w14:textId="77777777" w:rsidR="00723B5C" w:rsidRDefault="00BD3A48">
            <w:pPr>
              <w:spacing w:after="0"/>
            </w:pPr>
            <w:r>
              <w:rPr>
                <w:sz w:val="16"/>
              </w:rPr>
              <w:t>Pupil voice</w:t>
            </w:r>
          </w:p>
        </w:tc>
        <w:tc>
          <w:tcPr>
            <w:tcW w:w="5184" w:type="dxa"/>
            <w:shd w:val="clear" w:color="auto" w:fill="F4F7FA"/>
          </w:tcPr>
          <w:p w14:paraId="4260D39C" w14:textId="77777777" w:rsidR="00723B5C" w:rsidRDefault="00BD3A48">
            <w:pPr>
              <w:spacing w:after="0"/>
            </w:pPr>
            <w:r>
              <w:rPr>
                <w:sz w:val="16"/>
              </w:rPr>
              <w:t>Termly – enjoyment, inclusion, confidence and barriers</w:t>
            </w:r>
          </w:p>
        </w:tc>
      </w:tr>
      <w:tr w:rsidR="00723B5C" w14:paraId="78980266" w14:textId="77777777">
        <w:trPr>
          <w:jc w:val="center"/>
        </w:trPr>
        <w:tc>
          <w:tcPr>
            <w:tcW w:w="5184" w:type="dxa"/>
          </w:tcPr>
          <w:p w14:paraId="5C706A41" w14:textId="77777777" w:rsidR="00723B5C" w:rsidRDefault="00BD3A48">
            <w:pPr>
              <w:spacing w:after="0"/>
            </w:pPr>
            <w:r>
              <w:rPr>
                <w:sz w:val="16"/>
              </w:rPr>
              <w:t>Club and wider-activity participation</w:t>
            </w:r>
          </w:p>
        </w:tc>
        <w:tc>
          <w:tcPr>
            <w:tcW w:w="5184" w:type="dxa"/>
          </w:tcPr>
          <w:p w14:paraId="5FA92FB4" w14:textId="77777777" w:rsidR="00723B5C" w:rsidRDefault="00BD3A48">
            <w:pPr>
              <w:spacing w:after="0"/>
            </w:pPr>
            <w:r>
              <w:rPr>
                <w:sz w:val="16"/>
              </w:rPr>
              <w:t>Half-termly from September 2026 – unique pupils and pupil-group analysis</w:t>
            </w:r>
          </w:p>
        </w:tc>
      </w:tr>
      <w:tr w:rsidR="00723B5C" w14:paraId="3BBF5ECF" w14:textId="77777777">
        <w:trPr>
          <w:jc w:val="center"/>
        </w:trPr>
        <w:tc>
          <w:tcPr>
            <w:tcW w:w="5184" w:type="dxa"/>
            <w:shd w:val="clear" w:color="auto" w:fill="F4F7FA"/>
          </w:tcPr>
          <w:p w14:paraId="7AA1067A" w14:textId="77777777" w:rsidR="00723B5C" w:rsidRDefault="00BD3A48">
            <w:pPr>
              <w:spacing w:after="0"/>
            </w:pPr>
            <w:r>
              <w:rPr>
                <w:sz w:val="16"/>
              </w:rPr>
              <w:t>Competition participation</w:t>
            </w:r>
          </w:p>
        </w:tc>
        <w:tc>
          <w:tcPr>
            <w:tcW w:w="5184" w:type="dxa"/>
            <w:shd w:val="clear" w:color="auto" w:fill="F4F7FA"/>
          </w:tcPr>
          <w:p w14:paraId="0E82673E" w14:textId="77777777" w:rsidR="00723B5C" w:rsidRDefault="00BD3A48">
            <w:pPr>
              <w:spacing w:after="0"/>
            </w:pPr>
            <w:r>
              <w:rPr>
                <w:sz w:val="16"/>
              </w:rPr>
              <w:t>Termly from September 2026 – events and unique pupils by group</w:t>
            </w:r>
          </w:p>
        </w:tc>
      </w:tr>
      <w:tr w:rsidR="00723B5C" w14:paraId="5567AD06" w14:textId="77777777">
        <w:trPr>
          <w:jc w:val="center"/>
        </w:trPr>
        <w:tc>
          <w:tcPr>
            <w:tcW w:w="5184" w:type="dxa"/>
          </w:tcPr>
          <w:p w14:paraId="37A50843" w14:textId="77777777" w:rsidR="00723B5C" w:rsidRDefault="00BD3A48">
            <w:pPr>
              <w:spacing w:after="0"/>
            </w:pPr>
            <w:r>
              <w:rPr>
                <w:sz w:val="16"/>
              </w:rPr>
              <w:t>Swimming assessment</w:t>
            </w:r>
          </w:p>
        </w:tc>
        <w:tc>
          <w:tcPr>
            <w:tcW w:w="5184" w:type="dxa"/>
          </w:tcPr>
          <w:p w14:paraId="513ABCBE" w14:textId="77777777" w:rsidR="00723B5C" w:rsidRDefault="00BD3A48">
            <w:pPr>
              <w:spacing w:after="0"/>
            </w:pPr>
            <w:r>
              <w:rPr>
                <w:sz w:val="16"/>
              </w:rPr>
              <w:t>Annual, with earlier diagnostic information where available</w:t>
            </w:r>
          </w:p>
        </w:tc>
      </w:tr>
      <w:tr w:rsidR="00723B5C" w14:paraId="30CE343E" w14:textId="77777777">
        <w:trPr>
          <w:jc w:val="center"/>
        </w:trPr>
        <w:tc>
          <w:tcPr>
            <w:tcW w:w="5184" w:type="dxa"/>
            <w:shd w:val="clear" w:color="auto" w:fill="F4F7FA"/>
          </w:tcPr>
          <w:p w14:paraId="05659D85" w14:textId="77777777" w:rsidR="00723B5C" w:rsidRDefault="00BD3A48">
            <w:pPr>
              <w:spacing w:after="0"/>
            </w:pPr>
            <w:r>
              <w:rPr>
                <w:sz w:val="16"/>
              </w:rPr>
              <w:t>Governor monitoring</w:t>
            </w:r>
          </w:p>
        </w:tc>
        <w:tc>
          <w:tcPr>
            <w:tcW w:w="5184" w:type="dxa"/>
            <w:shd w:val="clear" w:color="auto" w:fill="F4F7FA"/>
          </w:tcPr>
          <w:p w14:paraId="26589EBB" w14:textId="77777777" w:rsidR="00723B5C" w:rsidRDefault="00BD3A48">
            <w:pPr>
              <w:spacing w:after="0"/>
            </w:pPr>
            <w:r>
              <w:rPr>
                <w:sz w:val="16"/>
              </w:rPr>
              <w:t>Termly / within the school QA cycle</w:t>
            </w:r>
          </w:p>
        </w:tc>
      </w:tr>
      <w:tr w:rsidR="00723B5C" w14:paraId="3727F919" w14:textId="77777777">
        <w:trPr>
          <w:jc w:val="center"/>
        </w:trPr>
        <w:tc>
          <w:tcPr>
            <w:tcW w:w="5184" w:type="dxa"/>
          </w:tcPr>
          <w:p w14:paraId="71B6ECDC" w14:textId="77777777" w:rsidR="00723B5C" w:rsidRDefault="00BD3A48">
            <w:pPr>
              <w:spacing w:after="0"/>
            </w:pPr>
            <w:r>
              <w:rPr>
                <w:sz w:val="16"/>
              </w:rPr>
              <w:t>Expenditure review</w:t>
            </w:r>
          </w:p>
        </w:tc>
        <w:tc>
          <w:tcPr>
            <w:tcW w:w="5184" w:type="dxa"/>
          </w:tcPr>
          <w:p w14:paraId="11A9B8EC" w14:textId="77777777" w:rsidR="00723B5C" w:rsidRDefault="00BD3A48">
            <w:pPr>
              <w:spacing w:after="0"/>
            </w:pPr>
            <w:r>
              <w:rPr>
                <w:sz w:val="16"/>
              </w:rPr>
              <w:t>At least termly – eligibility, actual spend and impact</w:t>
            </w:r>
          </w:p>
        </w:tc>
      </w:tr>
    </w:tbl>
    <w:p w14:paraId="138BF2E0" w14:textId="77777777" w:rsidR="00723B5C" w:rsidRDefault="00BD3A48">
      <w:pPr>
        <w:pStyle w:val="Heading1"/>
      </w:pPr>
      <w:r>
        <w:t>Publication and assurance</w:t>
      </w:r>
    </w:p>
    <w:p w14:paraId="7AF13717" w14:textId="7FABFD86" w:rsidR="00723B5C" w:rsidRDefault="00BD3A48">
      <w:r>
        <w:t>Templars Primary School received £21,</w:t>
      </w:r>
      <w:r w:rsidR="0016607E">
        <w:t>330</w:t>
      </w:r>
      <w:r>
        <w:t xml:space="preserve"> PE and Sport Premium funding for 2025–26 and reports no unspent premium funding. This report is intended to provide a clear public account of the school’s provision, impact, sustainability and Year 6 swimming outcomes. The school will also complete the DfE digital expenditure reporting return using reconciled eligible grant expenditure.</w:t>
      </w:r>
    </w:p>
    <w:sectPr w:rsidR="00723B5C" w:rsidSect="00034616">
      <w:footerReference w:type="default" r:id="rId8"/>
      <w:pgSz w:w="12240" w:h="15840"/>
      <w:pgMar w:top="864" w:right="936" w:bottom="864"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A8B30" w14:textId="77777777" w:rsidR="00C21FD8" w:rsidRDefault="00C21FD8">
      <w:pPr>
        <w:spacing w:after="0" w:line="240" w:lineRule="auto"/>
      </w:pPr>
      <w:r>
        <w:separator/>
      </w:r>
    </w:p>
  </w:endnote>
  <w:endnote w:type="continuationSeparator" w:id="0">
    <w:p w14:paraId="1D5D2BB3" w14:textId="77777777" w:rsidR="00C21FD8" w:rsidRDefault="00C21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8ECC" w14:textId="77777777" w:rsidR="00723B5C" w:rsidRDefault="00BD3A48">
    <w:pPr>
      <w:pStyle w:val="Footer"/>
      <w:jc w:val="center"/>
    </w:pPr>
    <w:r>
      <w:rPr>
        <w:color w:val="646464"/>
        <w:sz w:val="15"/>
      </w:rPr>
      <w:t>Templars Primary School | PE and Sport Premium Impact Report 2025–2026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7EAB1" w14:textId="77777777" w:rsidR="00C21FD8" w:rsidRDefault="00C21FD8">
      <w:pPr>
        <w:spacing w:after="0" w:line="240" w:lineRule="auto"/>
      </w:pPr>
      <w:r>
        <w:separator/>
      </w:r>
    </w:p>
  </w:footnote>
  <w:footnote w:type="continuationSeparator" w:id="0">
    <w:p w14:paraId="6E30E36D" w14:textId="77777777" w:rsidR="00C21FD8" w:rsidRDefault="00C21F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03535054">
    <w:abstractNumId w:val="8"/>
  </w:num>
  <w:num w:numId="2" w16cid:durableId="1696543310">
    <w:abstractNumId w:val="6"/>
  </w:num>
  <w:num w:numId="3" w16cid:durableId="798573681">
    <w:abstractNumId w:val="5"/>
  </w:num>
  <w:num w:numId="4" w16cid:durableId="953826934">
    <w:abstractNumId w:val="4"/>
  </w:num>
  <w:num w:numId="5" w16cid:durableId="1727221959">
    <w:abstractNumId w:val="7"/>
  </w:num>
  <w:num w:numId="6" w16cid:durableId="552469596">
    <w:abstractNumId w:val="3"/>
  </w:num>
  <w:num w:numId="7" w16cid:durableId="216668334">
    <w:abstractNumId w:val="2"/>
  </w:num>
  <w:num w:numId="8" w16cid:durableId="667250539">
    <w:abstractNumId w:val="1"/>
  </w:num>
  <w:num w:numId="9" w16cid:durableId="2091921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CAD"/>
    <w:rsid w:val="00034616"/>
    <w:rsid w:val="00040392"/>
    <w:rsid w:val="0006063C"/>
    <w:rsid w:val="000D662C"/>
    <w:rsid w:val="0015074B"/>
    <w:rsid w:val="0016607E"/>
    <w:rsid w:val="001C4239"/>
    <w:rsid w:val="0022647F"/>
    <w:rsid w:val="0029639D"/>
    <w:rsid w:val="00326F90"/>
    <w:rsid w:val="00371227"/>
    <w:rsid w:val="003C2495"/>
    <w:rsid w:val="006E4717"/>
    <w:rsid w:val="00723B5C"/>
    <w:rsid w:val="00745352"/>
    <w:rsid w:val="00900452"/>
    <w:rsid w:val="00AA1D8D"/>
    <w:rsid w:val="00B47730"/>
    <w:rsid w:val="00BD3A48"/>
    <w:rsid w:val="00C21FD8"/>
    <w:rsid w:val="00CB0664"/>
    <w:rsid w:val="00DE6958"/>
    <w:rsid w:val="00E02396"/>
    <w:rsid w:val="00FC693F"/>
    <w:rsid w:val="00FF4A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4C517E"/>
  <w14:defaultImageDpi w14:val="300"/>
  <w15:docId w15:val="{F477F42A-7870-4BA9-BEE6-E31200F75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Aptos" w:hAnsi="Aptos"/>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
    <w:rsid w:val="00031CA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031CA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1520</Words>
  <Characters>8667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10167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Kerri Davies</cp:lastModifiedBy>
  <cp:revision>11</cp:revision>
  <dcterms:created xsi:type="dcterms:W3CDTF">2026-08-31T10:12:00Z</dcterms:created>
  <dcterms:modified xsi:type="dcterms:W3CDTF">2026-09-04T15:08:00Z</dcterms:modified>
  <cp:category/>
</cp:coreProperties>
</file>